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w:t>
      </w:r>
      <w:r w:rsidR="00D455F3">
        <w:rPr>
          <w:rFonts w:eastAsia="Times New Roman" w:cs="Arial"/>
          <w:bCs/>
          <w:noProof/>
          <w:sz w:val="20"/>
          <w:szCs w:val="18"/>
          <w:lang w:val="en-US" w:eastAsia="zh-CN"/>
        </w:rPr>
        <w:t>8</w:t>
      </w:r>
      <w:r w:rsidR="006A22E4">
        <w:rPr>
          <w:rFonts w:eastAsia="Times New Roman" w:cs="Arial"/>
          <w:bCs/>
          <w:noProof/>
          <w:sz w:val="20"/>
          <w:szCs w:val="18"/>
          <w:lang w:val="en-US" w:eastAsia="zh-CN"/>
        </w:rPr>
        <w:t>9</w:t>
      </w:r>
      <w:r w:rsidR="00EA18C4">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6A22E4">
        <w:rPr>
          <w:rFonts w:eastAsia="Times New Roman" w:cs="Arial"/>
          <w:bCs/>
          <w:noProof/>
          <w:sz w:val="20"/>
          <w:szCs w:val="18"/>
          <w:lang w:val="en-US" w:eastAsia="zh-CN"/>
        </w:rPr>
        <w:t>R1-</w:t>
      </w:r>
      <w:r w:rsidR="0003650E">
        <w:rPr>
          <w:rFonts w:eastAsia="Times New Roman" w:cs="Arial"/>
          <w:bCs/>
          <w:noProof/>
          <w:sz w:val="20"/>
          <w:szCs w:val="18"/>
          <w:lang w:val="en-US" w:eastAsia="zh-CN"/>
        </w:rPr>
        <w:t>1708183</w:t>
      </w:r>
    </w:p>
    <w:p w:rsidR="006A22E4" w:rsidRDefault="006A22E4" w:rsidP="006A22E4">
      <w:pPr>
        <w:pStyle w:val="TdocHeader2"/>
        <w:rPr>
          <w:sz w:val="20"/>
          <w:lang w:val="en-US"/>
        </w:rPr>
      </w:pPr>
      <w:r>
        <w:rPr>
          <w:rFonts w:eastAsia="Times New Roman" w:cs="Arial"/>
          <w:bCs/>
          <w:noProof/>
          <w:sz w:val="20"/>
          <w:szCs w:val="18"/>
          <w:lang w:val="en-US" w:eastAsia="zh-CN"/>
        </w:rPr>
        <w:t>Hangzhou, China, 15</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19</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May 2017</w:t>
      </w:r>
    </w:p>
    <w:p w:rsidR="00F85CF4" w:rsidRDefault="00F85CF4" w:rsidP="006A1A84">
      <w:pPr>
        <w:pStyle w:val="TdocHeader2"/>
        <w:rPr>
          <w:sz w:val="20"/>
          <w:lang w:val="en-US"/>
        </w:rPr>
      </w:pPr>
    </w:p>
    <w:p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sidR="0035022C">
        <w:rPr>
          <w:sz w:val="20"/>
          <w:lang w:val="en-US"/>
        </w:rPr>
        <w:t>Thales</w:t>
      </w:r>
    </w:p>
    <w:p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D455F3">
        <w:rPr>
          <w:sz w:val="20"/>
          <w:lang w:val="en-US"/>
        </w:rPr>
        <w:t>Non Terrestrial Network</w:t>
      </w:r>
      <w:r w:rsidR="001B53EC">
        <w:rPr>
          <w:sz w:val="20"/>
          <w:lang w:val="en-US"/>
        </w:rPr>
        <w:t xml:space="preserve"> </w:t>
      </w:r>
      <w:r w:rsidR="00CF135A">
        <w:rPr>
          <w:sz w:val="20"/>
          <w:lang w:val="en-US"/>
        </w:rPr>
        <w:t>ch</w:t>
      </w:r>
      <w:r w:rsidR="007C658C">
        <w:rPr>
          <w:sz w:val="20"/>
          <w:lang w:val="en-US"/>
        </w:rPr>
        <w:t>annel model</w:t>
      </w:r>
      <w:r w:rsidR="007D3A27">
        <w:rPr>
          <w:sz w:val="20"/>
          <w:lang w:val="en-US"/>
        </w:rPr>
        <w:t>s</w:t>
      </w:r>
    </w:p>
    <w:p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03650E">
        <w:rPr>
          <w:sz w:val="20"/>
          <w:lang w:val="en-US"/>
        </w:rPr>
        <w:t>7.2 - Other</w:t>
      </w:r>
    </w:p>
    <w:p w:rsidR="006A1A84" w:rsidRDefault="006A1A84" w:rsidP="006A1A84">
      <w:pPr>
        <w:pStyle w:val="TdocHeader2"/>
        <w:rPr>
          <w:sz w:val="20"/>
          <w:lang w:val="en-US"/>
        </w:rPr>
      </w:pPr>
      <w:r>
        <w:rPr>
          <w:sz w:val="20"/>
          <w:lang w:val="en-US"/>
        </w:rPr>
        <w:t>Document for:</w:t>
      </w:r>
      <w:r>
        <w:rPr>
          <w:sz w:val="20"/>
          <w:lang w:val="en-US"/>
        </w:rPr>
        <w:tab/>
      </w:r>
      <w:r w:rsidR="00D455F3">
        <w:rPr>
          <w:sz w:val="20"/>
          <w:lang w:val="en-US"/>
        </w:rPr>
        <w:t>Information</w:t>
      </w:r>
    </w:p>
    <w:p w:rsidR="009B6B19" w:rsidRDefault="009B6B19" w:rsidP="006A1A84">
      <w:pPr>
        <w:pStyle w:val="TdocHeader2"/>
        <w:rPr>
          <w:sz w:val="20"/>
          <w:lang w:val="en-US"/>
        </w:rPr>
      </w:pPr>
    </w:p>
    <w:p w:rsidR="006A1A84" w:rsidRDefault="006A1A84" w:rsidP="006A1A84">
      <w:pPr>
        <w:pStyle w:val="TdocHeader2"/>
        <w:rPr>
          <w:sz w:val="20"/>
          <w:lang w:val="en-US"/>
        </w:rPr>
      </w:pPr>
    </w:p>
    <w:bookmarkEnd w:id="0"/>
    <w:bookmarkEnd w:id="1"/>
    <w:p w:rsidR="006A1A84" w:rsidRDefault="006A22E4" w:rsidP="006A1A84">
      <w:pPr>
        <w:pStyle w:val="Titre1"/>
        <w:numPr>
          <w:ilvl w:val="0"/>
          <w:numId w:val="4"/>
        </w:numPr>
        <w:textAlignment w:val="auto"/>
        <w:rPr>
          <w:lang w:val="en-US"/>
        </w:rPr>
      </w:pPr>
      <w:r>
        <w:rPr>
          <w:lang w:val="en-US"/>
        </w:rPr>
        <w:t>Abstract</w:t>
      </w:r>
    </w:p>
    <w:p w:rsidR="00103E90" w:rsidRPr="00103E90" w:rsidRDefault="00103E90" w:rsidP="00103E90">
      <w:pPr>
        <w:jc w:val="both"/>
        <w:rPr>
          <w:sz w:val="24"/>
          <w:szCs w:val="24"/>
        </w:rPr>
      </w:pPr>
      <w:r w:rsidRPr="00103E90">
        <w:rPr>
          <w:sz w:val="24"/>
          <w:szCs w:val="24"/>
        </w:rPr>
        <w:t xml:space="preserve">The objective of this document is to propose a text for the </w:t>
      </w:r>
      <w:r>
        <w:rPr>
          <w:sz w:val="24"/>
          <w:szCs w:val="24"/>
        </w:rPr>
        <w:t>6</w:t>
      </w:r>
      <w:r w:rsidRPr="00103E90">
        <w:rPr>
          <w:sz w:val="24"/>
          <w:szCs w:val="24"/>
          <w:vertAlign w:val="superscript"/>
        </w:rPr>
        <w:t>th</w:t>
      </w:r>
      <w:r>
        <w:rPr>
          <w:sz w:val="24"/>
          <w:szCs w:val="24"/>
        </w:rPr>
        <w:t xml:space="preserve"> clause</w:t>
      </w:r>
      <w:r w:rsidRPr="00103E90">
        <w:rPr>
          <w:sz w:val="24"/>
          <w:szCs w:val="24"/>
        </w:rPr>
        <w:t xml:space="preserve"> of the TR 38.XXX “Study on NR to support Non-Terrestrial Networks” to be drafted as part of the study item NR-NTN.</w:t>
      </w:r>
    </w:p>
    <w:p w:rsidR="006A22E4" w:rsidRDefault="006A22E4" w:rsidP="006A22E4">
      <w:pPr>
        <w:pStyle w:val="TdocHeader2"/>
        <w:rPr>
          <w:sz w:val="20"/>
          <w:lang w:val="en-US"/>
        </w:rPr>
      </w:pPr>
    </w:p>
    <w:p w:rsidR="006A22E4" w:rsidRDefault="006A22E4" w:rsidP="006A22E4">
      <w:pPr>
        <w:pStyle w:val="Titre1"/>
        <w:numPr>
          <w:ilvl w:val="0"/>
          <w:numId w:val="4"/>
        </w:numPr>
        <w:textAlignment w:val="auto"/>
        <w:rPr>
          <w:lang w:val="en-US"/>
        </w:rPr>
      </w:pPr>
      <w:r>
        <w:rPr>
          <w:lang w:val="en-US"/>
        </w:rPr>
        <w:t>Discussion</w:t>
      </w:r>
    </w:p>
    <w:p w:rsidR="006A22E4" w:rsidRDefault="006A22E4" w:rsidP="006A22E4">
      <w:pPr>
        <w:spacing w:after="0"/>
      </w:pPr>
    </w:p>
    <w:p w:rsidR="00103E90" w:rsidRDefault="00103E90" w:rsidP="00103E90">
      <w:pPr>
        <w:jc w:val="both"/>
        <w:rPr>
          <w:sz w:val="24"/>
          <w:szCs w:val="24"/>
        </w:rPr>
      </w:pPr>
      <w:r w:rsidRPr="0002546D">
        <w:rPr>
          <w:sz w:val="24"/>
          <w:szCs w:val="24"/>
        </w:rPr>
        <w:t>This contribution</w:t>
      </w:r>
      <w:r>
        <w:rPr>
          <w:sz w:val="24"/>
          <w:szCs w:val="24"/>
        </w:rPr>
        <w:t xml:space="preserve"> reviews existing channel models applicable to satellite systems for handheld devices operating below 6GHz and very small aperture terminals (fixed or mounted on moving platforms) operating in Ka band. Outdoor conditions with direct line of sight (LoS) are assumed. Below 6 GHz and Ka band frequencies are considered. Various space segment configuration are being considered in terms of orbit (from HAPS to GEO) and payloads (bent-pipe or regenerative/processed).</w:t>
      </w:r>
    </w:p>
    <w:p w:rsidR="006A22E4" w:rsidRDefault="006A22E4" w:rsidP="006A22E4">
      <w:pPr>
        <w:pStyle w:val="TdocHeader2"/>
        <w:rPr>
          <w:sz w:val="20"/>
          <w:lang w:val="en-US"/>
        </w:rPr>
      </w:pPr>
    </w:p>
    <w:p w:rsidR="006A22E4" w:rsidRDefault="006A22E4" w:rsidP="006A22E4">
      <w:pPr>
        <w:pStyle w:val="Titre1"/>
        <w:numPr>
          <w:ilvl w:val="0"/>
          <w:numId w:val="4"/>
        </w:numPr>
        <w:textAlignment w:val="auto"/>
        <w:rPr>
          <w:lang w:val="en-US"/>
        </w:rPr>
      </w:pPr>
      <w:r>
        <w:rPr>
          <w:lang w:val="en-US"/>
        </w:rPr>
        <w:t>Proposed text for approval</w:t>
      </w:r>
    </w:p>
    <w:p w:rsidR="006A22E4" w:rsidRDefault="006A22E4" w:rsidP="006A22E4">
      <w:pPr>
        <w:ind w:left="426" w:hanging="426"/>
      </w:pPr>
    </w:p>
    <w:p w:rsidR="006A22E4" w:rsidRDefault="006A22E4" w:rsidP="006A22E4">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38.XXX</w:t>
      </w:r>
      <w:r w:rsidRPr="00A409C1">
        <w:rPr>
          <w:lang w:eastAsia="zh-CN"/>
        </w:rPr>
        <w:t xml:space="preserve"> “</w:t>
      </w:r>
      <w:r w:rsidRPr="00DA5C3C">
        <w:t>Study on NR to support Non-Terrestrial Networks</w:t>
      </w:r>
      <w:r w:rsidRPr="00A409C1">
        <w:t>”</w:t>
      </w:r>
      <w:r w:rsidRPr="00A409C1">
        <w:rPr>
          <w:lang w:eastAsia="zh-CN"/>
        </w:rPr>
        <w:t>.</w:t>
      </w:r>
    </w:p>
    <w:p w:rsidR="00451C81" w:rsidRDefault="00451C81" w:rsidP="006C373D">
      <w:pPr>
        <w:pStyle w:val="B1"/>
        <w:ind w:left="0" w:firstLine="0"/>
        <w:rPr>
          <w:lang w:eastAsia="zh-CN"/>
        </w:rPr>
      </w:pPr>
    </w:p>
    <w:p w:rsidR="006C373D" w:rsidRPr="00A409C1" w:rsidRDefault="006C373D" w:rsidP="006C373D">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103E90" w:rsidRDefault="00103E90" w:rsidP="00103E90">
      <w:pPr>
        <w:pStyle w:val="B1"/>
        <w:ind w:left="0" w:firstLine="0"/>
        <w:rPr>
          <w:lang w:eastAsia="zh-CN"/>
        </w:rPr>
      </w:pPr>
    </w:p>
    <w:p w:rsidR="00944BBF" w:rsidRPr="00867DC2" w:rsidRDefault="00944BBF" w:rsidP="005A33DA">
      <w:pPr>
        <w:pStyle w:val="Titre1"/>
        <w:textAlignment w:val="auto"/>
        <w:rPr>
          <w:lang w:val="en-US"/>
        </w:rPr>
      </w:pPr>
      <w:r>
        <w:rPr>
          <w:lang w:val="en-US"/>
        </w:rPr>
        <w:t>2. Non-Terrestrial Networks channel models</w:t>
      </w:r>
    </w:p>
    <w:p w:rsidR="00944BBF" w:rsidRDefault="008E7116" w:rsidP="008E7116">
      <w:pPr>
        <w:pStyle w:val="EX"/>
        <w:ind w:left="284" w:firstLine="0"/>
        <w:jc w:val="both"/>
      </w:pPr>
      <w:r>
        <w:t xml:space="preserve">[1] Digital Video Broadcasting (DVB); Second generation framing structure, channel coding and modulation systems for Broadcasting, Interactive Services, News Gathering and other broadband satellite applications Part II: S2 - Extensions (DVB-S2X), Oct. 2014. </w:t>
      </w:r>
    </w:p>
    <w:p w:rsidR="006C373D" w:rsidRPr="00944BBF" w:rsidRDefault="006C373D" w:rsidP="008E7116">
      <w:pPr>
        <w:pStyle w:val="EX"/>
        <w:ind w:left="284" w:firstLine="0"/>
        <w:jc w:val="both"/>
      </w:pPr>
      <w:r w:rsidRPr="005A33DA">
        <w:t>[</w:t>
      </w:r>
      <w:r w:rsidR="008E7116">
        <w:t>2</w:t>
      </w:r>
      <w:r w:rsidRPr="005A33DA">
        <w:t>] A. A. M. Saleh, "Frequency-Independent and Frequency-Dependent Nonlinear Models of TWT Amplifiers," in IEEE Transactions on Communications</w:t>
      </w:r>
      <w:r w:rsidRPr="00944BBF">
        <w:t>, vol. 29, no. 11, pp. 1715-1720, Nov. 1981.</w:t>
      </w:r>
    </w:p>
    <w:p w:rsidR="006C373D" w:rsidRPr="00944BBF" w:rsidRDefault="006C373D" w:rsidP="008E7116">
      <w:pPr>
        <w:pStyle w:val="EX"/>
        <w:ind w:left="284" w:firstLine="0"/>
        <w:jc w:val="both"/>
      </w:pPr>
      <w:r w:rsidRPr="005A33DA">
        <w:lastRenderedPageBreak/>
        <w:t>[</w:t>
      </w:r>
      <w:r w:rsidR="008E7116">
        <w:t>3</w:t>
      </w:r>
      <w:r w:rsidRPr="005A33DA">
        <w:t>] D. B. Leeson, "A simple model of feedback oscillator noise spectrum," in Proceedings of the IEEE</w:t>
      </w:r>
      <w:r w:rsidRPr="00944BBF">
        <w:t>, vol. 54, no. 2, pp. 329-330, Feb. 1966.</w:t>
      </w:r>
    </w:p>
    <w:p w:rsidR="006C373D" w:rsidRPr="005A33DA" w:rsidRDefault="006C373D" w:rsidP="008E7116">
      <w:pPr>
        <w:pStyle w:val="EX"/>
        <w:ind w:left="284" w:firstLine="0"/>
        <w:jc w:val="both"/>
      </w:pPr>
      <w:r w:rsidRPr="005A33DA">
        <w:t xml:space="preserve"> [</w:t>
      </w:r>
      <w:r w:rsidR="009120D8">
        <w:t>4</w:t>
      </w:r>
      <w:r w:rsidRPr="005A33DA">
        <w:t>] Recommendation ITU-R P.618-12, “Propagation data and prediction methods required for the design of Earth-space telecommunication systems”, July 2015.</w:t>
      </w:r>
    </w:p>
    <w:p w:rsidR="006C373D" w:rsidRDefault="006C373D" w:rsidP="008E7116">
      <w:pPr>
        <w:pStyle w:val="EX"/>
        <w:ind w:left="284" w:firstLine="0"/>
        <w:jc w:val="both"/>
      </w:pPr>
      <w:r w:rsidRPr="005A33DA">
        <w:t>[</w:t>
      </w:r>
      <w:r w:rsidR="009120D8">
        <w:t>5</w:t>
      </w:r>
      <w:r w:rsidRPr="005A33DA">
        <w:t xml:space="preserve">] Recommendation ITU-R P.676-11, “Attenuation by atmospheric gases”, Sept. 2016. </w:t>
      </w:r>
    </w:p>
    <w:p w:rsidR="00A06015" w:rsidRPr="005A33DA" w:rsidRDefault="00A06015" w:rsidP="008E7116">
      <w:pPr>
        <w:pStyle w:val="EX"/>
        <w:ind w:left="284" w:firstLine="0"/>
        <w:jc w:val="both"/>
      </w:pPr>
      <w:r>
        <w:t xml:space="preserve">[6] Abramowitz, M. and </w:t>
      </w:r>
      <w:proofErr w:type="spellStart"/>
      <w:r>
        <w:t>Stegun</w:t>
      </w:r>
      <w:proofErr w:type="spellEnd"/>
      <w:r>
        <w:t xml:space="preserve">, I. A. (ed.), </w:t>
      </w:r>
      <w:hyperlink r:id="rId9" w:tooltip="Handbook of Mathematical Functions" w:history="1">
        <w:r w:rsidRPr="00A06015">
          <w:t>Handbook of Mathematical Functions</w:t>
        </w:r>
      </w:hyperlink>
      <w:r>
        <w:t>, National Bureau of Standards, 1964; reprinted Dover Publications, 1965.</w:t>
      </w:r>
    </w:p>
    <w:p w:rsidR="006C373D" w:rsidRDefault="006C373D" w:rsidP="008E7116">
      <w:pPr>
        <w:pStyle w:val="EX"/>
        <w:ind w:left="284" w:firstLine="0"/>
        <w:jc w:val="both"/>
      </w:pPr>
      <w:r w:rsidRPr="005A33DA">
        <w:t>[</w:t>
      </w:r>
      <w:r w:rsidR="00A06015">
        <w:t>7</w:t>
      </w:r>
      <w:r w:rsidRPr="005A33DA">
        <w:t xml:space="preserve">] </w:t>
      </w:r>
      <w:proofErr w:type="spellStart"/>
      <w:r w:rsidRPr="005A33DA">
        <w:t>Prieto-Cerdeira</w:t>
      </w:r>
      <w:proofErr w:type="spellEnd"/>
      <w:r w:rsidRPr="005A33DA">
        <w:t>, R., Perez-Fontan, F., Burzigotti, P., Bolea-Alamañac, A. and Sanchez-Lago, I., “Versatile two-state land mobile satellite channel model with first application to DVB-SH analysis”, Int. J. Satell. Commun. Network., 28: 291–315., June 2010.</w:t>
      </w:r>
    </w:p>
    <w:p w:rsidR="009120D8" w:rsidRDefault="009120D8" w:rsidP="009120D8">
      <w:pPr>
        <w:pStyle w:val="EX"/>
        <w:ind w:left="284" w:firstLine="0"/>
        <w:jc w:val="both"/>
      </w:pPr>
      <w:r>
        <w:t>[</w:t>
      </w:r>
      <w:r w:rsidR="00A06015">
        <w:t>8</w:t>
      </w:r>
      <w:r>
        <w:t>] ITU-R P.681-9, “Propagation data required for the design of earth-space land mobile telecommunication systems”, Sept. 2016.</w:t>
      </w:r>
    </w:p>
    <w:p w:rsidR="00944BBF" w:rsidRPr="00235394" w:rsidRDefault="00944BBF" w:rsidP="008E7116">
      <w:pPr>
        <w:pStyle w:val="EX"/>
        <w:ind w:left="284" w:firstLine="0"/>
        <w:jc w:val="both"/>
      </w:pPr>
      <w:r w:rsidRPr="005A33DA">
        <w:t>[</w:t>
      </w:r>
      <w:r w:rsidR="00A06015">
        <w:t>9</w:t>
      </w:r>
      <w:r w:rsidR="008E7116">
        <w:t xml:space="preserve">] </w:t>
      </w:r>
      <w:r w:rsidRPr="005A33DA">
        <w:t>3GPP TR 38.901: "</w:t>
      </w:r>
      <w:r w:rsidRPr="00944BBF">
        <w:t xml:space="preserve"> Study on channel model for frequencies from 0.5 to 100 GHz (Release 14)</w:t>
      </w:r>
      <w:r w:rsidRPr="005A33DA">
        <w:t>".</w:t>
      </w:r>
    </w:p>
    <w:p w:rsidR="00944BBF" w:rsidRPr="005A33DA" w:rsidRDefault="00944BBF" w:rsidP="006C373D">
      <w:pPr>
        <w:rPr>
          <w:lang w:val="en-GB"/>
        </w:rPr>
      </w:pPr>
    </w:p>
    <w:p w:rsidR="006C373D" w:rsidRPr="00177A87" w:rsidRDefault="006C373D" w:rsidP="006C373D">
      <w:pPr>
        <w:rPr>
          <w:color w:val="1F497D"/>
        </w:rPr>
      </w:pPr>
    </w:p>
    <w:p w:rsidR="006C373D" w:rsidRPr="00A5125D" w:rsidRDefault="006C373D" w:rsidP="006C37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5125D">
        <w:rPr>
          <w:rFonts w:ascii="Arial" w:hAnsi="Arial" w:cs="Arial"/>
          <w:color w:val="FF0000"/>
          <w:sz w:val="28"/>
          <w:szCs w:val="28"/>
        </w:rPr>
        <w:t>* * * End of Changes * * * *</w:t>
      </w:r>
    </w:p>
    <w:p w:rsidR="006C373D" w:rsidRDefault="006C373D" w:rsidP="006C373D"/>
    <w:p w:rsidR="00944BBF" w:rsidRDefault="00944BBF" w:rsidP="00944BBF">
      <w:pPr>
        <w:pStyle w:val="B1"/>
        <w:ind w:left="0" w:firstLine="0"/>
        <w:rPr>
          <w:lang w:eastAsia="zh-CN"/>
        </w:rPr>
      </w:pPr>
    </w:p>
    <w:p w:rsidR="00944BBF" w:rsidRPr="00A409C1" w:rsidRDefault="00944BBF" w:rsidP="00944BBF">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944BBF" w:rsidRDefault="00944BBF" w:rsidP="00944BBF">
      <w:pPr>
        <w:pStyle w:val="B1"/>
        <w:ind w:left="0" w:firstLine="0"/>
        <w:rPr>
          <w:lang w:eastAsia="zh-CN"/>
        </w:rPr>
      </w:pPr>
    </w:p>
    <w:p w:rsidR="00944BBF" w:rsidRDefault="00944BBF" w:rsidP="00944BBF">
      <w:pPr>
        <w:pStyle w:val="Titre2"/>
      </w:pPr>
      <w:r>
        <w:t>3.3 Abbreviations</w:t>
      </w:r>
    </w:p>
    <w:p w:rsidR="00944BBF" w:rsidRDefault="00944BBF" w:rsidP="00944BBF">
      <w:pPr>
        <w:pStyle w:val="B1"/>
        <w:ind w:left="0" w:firstLine="0"/>
        <w:rPr>
          <w:lang w:eastAsia="zh-CN"/>
        </w:rPr>
      </w:pPr>
    </w:p>
    <w:p w:rsidR="00944BBF" w:rsidRPr="0022461B" w:rsidRDefault="00944BBF" w:rsidP="005A33DA">
      <w:pPr>
        <w:pStyle w:val="EW"/>
      </w:pPr>
      <w:r>
        <w:t>AWGN</w:t>
      </w:r>
      <w:r>
        <w:tab/>
      </w:r>
      <w:r>
        <w:tab/>
        <w:t>Additive White Gaussian Noise</w:t>
      </w:r>
    </w:p>
    <w:p w:rsidR="00944BBF" w:rsidRDefault="00944BBF" w:rsidP="005A33DA">
      <w:pPr>
        <w:pStyle w:val="EW"/>
      </w:pPr>
      <w:r>
        <w:t>FSS</w:t>
      </w:r>
      <w:r>
        <w:tab/>
      </w:r>
      <w:r>
        <w:tab/>
        <w:t>Fixed Satellite Services</w:t>
      </w:r>
    </w:p>
    <w:p w:rsidR="00944BBF" w:rsidRDefault="00944BBF" w:rsidP="005A33DA">
      <w:pPr>
        <w:pStyle w:val="EW"/>
      </w:pPr>
      <w:r>
        <w:t>GEO</w:t>
      </w:r>
      <w:r>
        <w:tab/>
      </w:r>
      <w:r>
        <w:tab/>
        <w:t>G</w:t>
      </w:r>
      <w:r w:rsidRPr="00C06491">
        <w:t xml:space="preserve">eostationary </w:t>
      </w:r>
      <w:r>
        <w:t>E</w:t>
      </w:r>
      <w:r w:rsidRPr="00C06491">
        <w:t xml:space="preserve">arth </w:t>
      </w:r>
      <w:r>
        <w:t>O</w:t>
      </w:r>
      <w:r w:rsidRPr="00C06491">
        <w:t>rbiting</w:t>
      </w:r>
    </w:p>
    <w:p w:rsidR="00944BBF" w:rsidRPr="00DA5BF2" w:rsidRDefault="00944BBF" w:rsidP="005A33DA">
      <w:pPr>
        <w:pStyle w:val="EW"/>
        <w:rPr>
          <w:lang w:val="fr-FR"/>
        </w:rPr>
      </w:pPr>
      <w:bookmarkStart w:id="3" w:name="_GoBack"/>
      <w:r w:rsidRPr="00DA5BF2">
        <w:rPr>
          <w:lang w:val="fr-FR"/>
        </w:rPr>
        <w:t>IMUX</w:t>
      </w:r>
      <w:r w:rsidRPr="00DA5BF2">
        <w:rPr>
          <w:lang w:val="fr-FR"/>
        </w:rPr>
        <w:tab/>
      </w:r>
      <w:r w:rsidRPr="00DA5BF2">
        <w:rPr>
          <w:lang w:val="fr-FR"/>
        </w:rPr>
        <w:tab/>
        <w:t xml:space="preserve">Input </w:t>
      </w:r>
      <w:proofErr w:type="spellStart"/>
      <w:r w:rsidRPr="00DA5BF2">
        <w:rPr>
          <w:lang w:val="fr-FR"/>
        </w:rPr>
        <w:t>MUltipleXer</w:t>
      </w:r>
      <w:proofErr w:type="spellEnd"/>
    </w:p>
    <w:p w:rsidR="00944BBF" w:rsidRPr="00DA5BF2" w:rsidRDefault="00944BBF" w:rsidP="005A33DA">
      <w:pPr>
        <w:pStyle w:val="EW"/>
        <w:rPr>
          <w:lang w:val="fr-FR"/>
        </w:rPr>
      </w:pPr>
      <w:r w:rsidRPr="00DA5BF2">
        <w:rPr>
          <w:lang w:val="fr-FR"/>
        </w:rPr>
        <w:t>LMS</w:t>
      </w:r>
      <w:r w:rsidRPr="00DA5BF2">
        <w:rPr>
          <w:lang w:val="fr-FR"/>
        </w:rPr>
        <w:tab/>
      </w:r>
      <w:r w:rsidRPr="00DA5BF2">
        <w:rPr>
          <w:lang w:val="fr-FR"/>
        </w:rPr>
        <w:tab/>
        <w:t>Land Mobile Satellite</w:t>
      </w:r>
    </w:p>
    <w:bookmarkEnd w:id="3"/>
    <w:p w:rsidR="00944BBF" w:rsidRDefault="00944BBF" w:rsidP="005A33DA">
      <w:pPr>
        <w:pStyle w:val="EW"/>
      </w:pPr>
      <w:proofErr w:type="spellStart"/>
      <w:r>
        <w:t>LoS</w:t>
      </w:r>
      <w:proofErr w:type="spellEnd"/>
      <w:r>
        <w:tab/>
      </w:r>
      <w:r>
        <w:tab/>
        <w:t>Line of Sight</w:t>
      </w:r>
    </w:p>
    <w:p w:rsidR="00944BBF" w:rsidRPr="001E05A3" w:rsidRDefault="00944BBF" w:rsidP="005A33DA">
      <w:pPr>
        <w:pStyle w:val="EW"/>
      </w:pPr>
      <w:r w:rsidRPr="00E05EF8">
        <w:t>gNB</w:t>
      </w:r>
      <w:r w:rsidRPr="00E05EF8">
        <w:tab/>
      </w:r>
      <w:r w:rsidRPr="00E05EF8">
        <w:tab/>
        <w:t>next Generation Node B</w:t>
      </w:r>
    </w:p>
    <w:p w:rsidR="00944BBF" w:rsidRDefault="00944BBF" w:rsidP="005A33DA">
      <w:pPr>
        <w:pStyle w:val="EW"/>
      </w:pPr>
      <w:r>
        <w:t>OMUX</w:t>
      </w:r>
      <w:r>
        <w:tab/>
      </w:r>
      <w:r>
        <w:tab/>
        <w:t>Output MUltipleXer</w:t>
      </w:r>
    </w:p>
    <w:p w:rsidR="00944BBF" w:rsidRPr="002149A1" w:rsidRDefault="00944BBF" w:rsidP="005A33DA">
      <w:pPr>
        <w:pStyle w:val="EW"/>
      </w:pPr>
      <w:r>
        <w:t>UE</w:t>
      </w:r>
      <w:r>
        <w:tab/>
      </w:r>
      <w:r>
        <w:tab/>
        <w:t>User Equipment</w:t>
      </w:r>
    </w:p>
    <w:p w:rsidR="00944BBF" w:rsidRPr="008F0C5C" w:rsidRDefault="00944BBF" w:rsidP="00944BBF">
      <w:pPr>
        <w:pStyle w:val="B1"/>
        <w:ind w:left="0" w:firstLine="0"/>
        <w:rPr>
          <w:lang w:val="en-US" w:eastAsia="zh-CN"/>
        </w:rPr>
      </w:pPr>
    </w:p>
    <w:p w:rsidR="00944BBF" w:rsidRPr="00177A87" w:rsidRDefault="00944BBF" w:rsidP="00944BBF">
      <w:pPr>
        <w:rPr>
          <w:color w:val="1F497D"/>
        </w:rPr>
      </w:pPr>
    </w:p>
    <w:p w:rsidR="00944BBF" w:rsidRPr="00A5125D" w:rsidRDefault="00944BBF" w:rsidP="00944BB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5125D">
        <w:rPr>
          <w:rFonts w:ascii="Arial" w:hAnsi="Arial" w:cs="Arial"/>
          <w:color w:val="FF0000"/>
          <w:sz w:val="28"/>
          <w:szCs w:val="28"/>
        </w:rPr>
        <w:t>* * * End of Changes * * * *</w:t>
      </w:r>
    </w:p>
    <w:p w:rsidR="00944BBF" w:rsidRDefault="00944BBF" w:rsidP="006C373D"/>
    <w:p w:rsidR="006C373D" w:rsidRDefault="006C373D" w:rsidP="00103E90">
      <w:pPr>
        <w:pStyle w:val="B1"/>
        <w:ind w:left="0" w:firstLine="0"/>
        <w:rPr>
          <w:lang w:eastAsia="zh-CN"/>
        </w:rPr>
      </w:pPr>
    </w:p>
    <w:p w:rsidR="006C373D" w:rsidRDefault="006C373D" w:rsidP="00103E90">
      <w:pPr>
        <w:pStyle w:val="B1"/>
        <w:ind w:left="0" w:firstLine="0"/>
        <w:rPr>
          <w:lang w:eastAsia="zh-CN"/>
        </w:rPr>
      </w:pPr>
    </w:p>
    <w:p w:rsidR="00103E90" w:rsidRPr="00A409C1" w:rsidRDefault="00103E90" w:rsidP="00103E90">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103E90" w:rsidRDefault="00103E90" w:rsidP="00103E90">
      <w:pPr>
        <w:pStyle w:val="B1"/>
        <w:ind w:left="0" w:firstLine="0"/>
        <w:rPr>
          <w:color w:val="auto"/>
          <w:lang w:val="en-US" w:eastAsia="zh-CN"/>
        </w:rPr>
      </w:pPr>
    </w:p>
    <w:p w:rsidR="006A22E4" w:rsidRPr="00867DC2" w:rsidRDefault="006A22E4" w:rsidP="006A22E4">
      <w:pPr>
        <w:pStyle w:val="Titre1"/>
        <w:numPr>
          <w:ilvl w:val="0"/>
          <w:numId w:val="25"/>
        </w:numPr>
        <w:textAlignment w:val="auto"/>
        <w:rPr>
          <w:lang w:val="en-US"/>
        </w:rPr>
      </w:pPr>
      <w:r>
        <w:rPr>
          <w:lang w:val="en-US"/>
        </w:rPr>
        <w:t>Non-Terrestrial Networks channel models</w:t>
      </w:r>
    </w:p>
    <w:p w:rsidR="007D427D" w:rsidRDefault="00867DC2" w:rsidP="007D427D">
      <w:pPr>
        <w:jc w:val="both"/>
        <w:rPr>
          <w:szCs w:val="24"/>
        </w:rPr>
      </w:pPr>
      <w:r>
        <w:rPr>
          <w:lang w:eastAsia="zh-CN"/>
        </w:rPr>
        <w:t>A channel model is here proposed for g</w:t>
      </w:r>
      <w:r w:rsidR="007F1AED" w:rsidRPr="00C06491">
        <w:rPr>
          <w:lang w:eastAsia="zh-CN"/>
        </w:rPr>
        <w:t>eos</w:t>
      </w:r>
      <w:r w:rsidR="00944965" w:rsidRPr="00C06491">
        <w:rPr>
          <w:lang w:eastAsia="zh-CN"/>
        </w:rPr>
        <w:t xml:space="preserve">tationary earth orbiting (GEO) and non-geostationary earth orbiting satellites. The satellite </w:t>
      </w:r>
      <w:r w:rsidR="000A6CFF" w:rsidRPr="00C06491">
        <w:rPr>
          <w:lang w:eastAsia="zh-CN"/>
        </w:rPr>
        <w:t>can be</w:t>
      </w:r>
      <w:r w:rsidR="00944965" w:rsidRPr="00C06491">
        <w:rPr>
          <w:lang w:eastAsia="zh-CN"/>
        </w:rPr>
        <w:t xml:space="preserve"> either </w:t>
      </w:r>
      <w:r w:rsidR="002F69FD">
        <w:rPr>
          <w:lang w:eastAsia="zh-CN"/>
        </w:rPr>
        <w:t>a bent-pipe satellite</w:t>
      </w:r>
      <w:r w:rsidR="000A6CFF" w:rsidRPr="00C06491">
        <w:rPr>
          <w:lang w:eastAsia="zh-CN"/>
        </w:rPr>
        <w:t xml:space="preserve"> (i.e. </w:t>
      </w:r>
      <w:r w:rsidR="00CA748E">
        <w:rPr>
          <w:lang w:eastAsia="zh-CN"/>
        </w:rPr>
        <w:t xml:space="preserve">it </w:t>
      </w:r>
      <w:r w:rsidR="002877D2">
        <w:rPr>
          <w:lang w:eastAsia="zh-CN"/>
        </w:rPr>
        <w:t xml:space="preserve">only </w:t>
      </w:r>
      <w:r w:rsidR="00CA748E">
        <w:rPr>
          <w:lang w:eastAsia="zh-CN"/>
        </w:rPr>
        <w:t>amplifies the received signal after frequency conversion</w:t>
      </w:r>
      <w:r w:rsidR="000A6CFF" w:rsidRPr="00C06491">
        <w:rPr>
          <w:lang w:eastAsia="zh-CN"/>
        </w:rPr>
        <w:t>)</w:t>
      </w:r>
      <w:r w:rsidR="00944965" w:rsidRPr="00C06491">
        <w:rPr>
          <w:lang w:eastAsia="zh-CN"/>
        </w:rPr>
        <w:t xml:space="preserve"> or </w:t>
      </w:r>
      <w:r w:rsidR="002F69FD">
        <w:rPr>
          <w:lang w:eastAsia="zh-CN"/>
        </w:rPr>
        <w:t xml:space="preserve">a </w:t>
      </w:r>
      <w:r w:rsidR="00944965" w:rsidRPr="00C06491">
        <w:rPr>
          <w:lang w:eastAsia="zh-CN"/>
        </w:rPr>
        <w:t>regenerative</w:t>
      </w:r>
      <w:r w:rsidR="002F69FD">
        <w:rPr>
          <w:lang w:eastAsia="zh-CN"/>
        </w:rPr>
        <w:t xml:space="preserve"> satellite</w:t>
      </w:r>
      <w:r w:rsidR="000A6CFF" w:rsidRPr="00C06491">
        <w:rPr>
          <w:lang w:eastAsia="zh-CN"/>
        </w:rPr>
        <w:t xml:space="preserve"> when on-board modulation and demodulation </w:t>
      </w:r>
      <w:r w:rsidR="002877D2">
        <w:rPr>
          <w:lang w:eastAsia="zh-CN"/>
        </w:rPr>
        <w:t xml:space="preserve">(i.e. on-board processing) </w:t>
      </w:r>
      <w:r w:rsidR="000A6CFF" w:rsidRPr="00C06491">
        <w:rPr>
          <w:lang w:eastAsia="zh-CN"/>
        </w:rPr>
        <w:t>are performed</w:t>
      </w:r>
      <w:r w:rsidR="00944965" w:rsidRPr="00C06491">
        <w:rPr>
          <w:lang w:eastAsia="zh-CN"/>
        </w:rPr>
        <w:t>.</w:t>
      </w:r>
      <w:r w:rsidR="000A6CFF" w:rsidRPr="00C06491">
        <w:rPr>
          <w:sz w:val="24"/>
          <w:szCs w:val="24"/>
        </w:rPr>
        <w:t xml:space="preserve"> </w:t>
      </w:r>
    </w:p>
    <w:p w:rsidR="007D427D" w:rsidRDefault="00103E90" w:rsidP="007D427D">
      <w:pPr>
        <w:pStyle w:val="Titre2"/>
      </w:pPr>
      <w:r>
        <w:t xml:space="preserve">6.1 </w:t>
      </w:r>
      <w:r w:rsidR="007D427D">
        <w:t>Frequency bands</w:t>
      </w:r>
    </w:p>
    <w:p w:rsidR="001B751E" w:rsidRPr="001B751E" w:rsidRDefault="001B751E" w:rsidP="001B751E">
      <w:pPr>
        <w:rPr>
          <w:lang w:val="en-GB" w:eastAsia="zh-CN"/>
        </w:rPr>
      </w:pPr>
      <w:r>
        <w:rPr>
          <w:lang w:val="en-GB" w:eastAsia="zh-CN"/>
        </w:rPr>
        <w:t xml:space="preserve">Two frequency bands are here considered: below 6GHz and </w:t>
      </w:r>
      <w:proofErr w:type="spellStart"/>
      <w:r>
        <w:rPr>
          <w:lang w:val="en-GB" w:eastAsia="zh-CN"/>
        </w:rPr>
        <w:t>Ka</w:t>
      </w:r>
      <w:proofErr w:type="spellEnd"/>
      <w:r>
        <w:rPr>
          <w:lang w:val="en-GB" w:eastAsia="zh-CN"/>
        </w:rPr>
        <w:t xml:space="preserve"> bands. For </w:t>
      </w:r>
      <w:proofErr w:type="spellStart"/>
      <w:r>
        <w:rPr>
          <w:lang w:val="en-GB" w:eastAsia="zh-CN"/>
        </w:rPr>
        <w:t>Ka</w:t>
      </w:r>
      <w:proofErr w:type="spellEnd"/>
      <w:r>
        <w:rPr>
          <w:lang w:val="en-GB" w:eastAsia="zh-CN"/>
        </w:rPr>
        <w:t xml:space="preserve"> band communications, the uplink frequency is around 30GHz while the downlink frequency is around 20GHz. </w:t>
      </w:r>
    </w:p>
    <w:p w:rsidR="007D427D" w:rsidRPr="007D427D" w:rsidRDefault="007D427D" w:rsidP="007D427D">
      <w:pPr>
        <w:rPr>
          <w:lang w:val="en-GB" w:eastAsia="zh-CN"/>
        </w:rPr>
      </w:pPr>
    </w:p>
    <w:p w:rsidR="000A6CFF" w:rsidRDefault="00103E90" w:rsidP="007D427D">
      <w:pPr>
        <w:pStyle w:val="Titre2"/>
      </w:pPr>
      <w:r>
        <w:t xml:space="preserve">6.2 </w:t>
      </w:r>
      <w:r w:rsidR="00CC526C">
        <w:t xml:space="preserve">Satellite payload model </w:t>
      </w:r>
    </w:p>
    <w:p w:rsidR="0022461B" w:rsidRDefault="00FA489C" w:rsidP="00DF40F5">
      <w:pPr>
        <w:jc w:val="both"/>
        <w:rPr>
          <w:lang w:val="en-GB" w:eastAsia="zh-CN"/>
        </w:rPr>
      </w:pPr>
      <w:r>
        <w:rPr>
          <w:lang w:val="en-GB" w:eastAsia="zh-CN"/>
        </w:rPr>
        <w:t>The characteristics of satellite payload need to be taken into account in the channel model for the bent pipe payload case</w:t>
      </w:r>
      <w:r w:rsidR="002877D2">
        <w:rPr>
          <w:lang w:val="en-GB" w:eastAsia="zh-CN"/>
        </w:rPr>
        <w:t>, since it does affect the signal between the transmitter and the receiver</w:t>
      </w:r>
      <w:r>
        <w:rPr>
          <w:lang w:val="en-GB" w:eastAsia="zh-CN"/>
        </w:rPr>
        <w:t>.</w:t>
      </w:r>
      <w:r w:rsidR="00DF40F5">
        <w:rPr>
          <w:lang w:val="en-GB" w:eastAsia="zh-CN"/>
        </w:rPr>
        <w:t xml:space="preserve"> T</w:t>
      </w:r>
      <w:r w:rsidR="002F69FD">
        <w:rPr>
          <w:lang w:val="en-GB" w:eastAsia="zh-CN"/>
        </w:rPr>
        <w:t>he satellite payload consists</w:t>
      </w:r>
      <w:r w:rsidR="00DF40F5">
        <w:rPr>
          <w:lang w:val="en-GB" w:eastAsia="zh-CN"/>
        </w:rPr>
        <w:t xml:space="preserve"> </w:t>
      </w:r>
      <w:r w:rsidR="002877D2">
        <w:rPr>
          <w:lang w:val="en-GB" w:eastAsia="zh-CN"/>
        </w:rPr>
        <w:t xml:space="preserve">then </w:t>
      </w:r>
      <w:r w:rsidR="002F69FD">
        <w:rPr>
          <w:lang w:val="en-GB" w:eastAsia="zh-CN"/>
        </w:rPr>
        <w:t>in an input multiplexer (IMUX) filter, a power amplifier and an output multiplexer, as de</w:t>
      </w:r>
      <w:r w:rsidR="00514702">
        <w:rPr>
          <w:lang w:val="en-GB" w:eastAsia="zh-CN"/>
        </w:rPr>
        <w:t>picted in Fig.1</w:t>
      </w:r>
      <w:r w:rsidR="002F69FD">
        <w:rPr>
          <w:lang w:val="en-GB" w:eastAsia="zh-CN"/>
        </w:rPr>
        <w:t>.</w:t>
      </w:r>
      <w:r w:rsidR="00C2025A">
        <w:rPr>
          <w:lang w:val="en-GB" w:eastAsia="zh-CN"/>
        </w:rPr>
        <w:t xml:space="preserve"> The uplink noise is an additive white Gaussian noise (AWGN) which can often be neglected. </w:t>
      </w:r>
      <w:r w:rsidR="008C203B" w:rsidRPr="008C203B">
        <w:rPr>
          <w:lang w:val="en-GB" w:eastAsia="zh-CN"/>
        </w:rPr>
        <w:t>A frequency conversion occurs after the IMUX fi</w:t>
      </w:r>
      <w:r w:rsidR="00FA3413">
        <w:rPr>
          <w:lang w:val="en-GB" w:eastAsia="zh-CN"/>
        </w:rPr>
        <w:t>l</w:t>
      </w:r>
      <w:r w:rsidR="008C203B" w:rsidRPr="008C203B">
        <w:rPr>
          <w:lang w:val="en-GB" w:eastAsia="zh-CN"/>
        </w:rPr>
        <w:t>tering, so that additive phase noise has to be considered.</w:t>
      </w:r>
      <w:r w:rsidR="008C203B">
        <w:rPr>
          <w:lang w:val="en-GB" w:eastAsia="zh-CN"/>
        </w:rPr>
        <w:t xml:space="preserve"> </w:t>
      </w:r>
    </w:p>
    <w:p w:rsidR="0022461B" w:rsidRDefault="0022461B" w:rsidP="00DF40F5">
      <w:pPr>
        <w:jc w:val="both"/>
        <w:rPr>
          <w:lang w:val="en-GB" w:eastAsia="zh-CN"/>
        </w:rPr>
      </w:pPr>
    </w:p>
    <w:p w:rsidR="009F731F" w:rsidRPr="002F69FD" w:rsidRDefault="00C2025A" w:rsidP="00C2025A">
      <w:pPr>
        <w:jc w:val="center"/>
        <w:rPr>
          <w:lang w:val="en-GB" w:eastAsia="zh-CN"/>
        </w:rPr>
      </w:pPr>
      <w:r>
        <w:rPr>
          <w:noProof/>
          <w:lang w:val="en-GB" w:eastAsia="en-GB"/>
        </w:rPr>
        <w:drawing>
          <wp:inline distT="0" distB="0" distL="0" distR="0" wp14:anchorId="59749EBF" wp14:editId="69FADA0E">
            <wp:extent cx="4647063" cy="1124289"/>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0">
                      <a:extLst>
                        <a:ext uri="{28A0092B-C50C-407E-A947-70E740481C1C}">
                          <a14:useLocalDpi xmlns:a14="http://schemas.microsoft.com/office/drawing/2010/main" val="0"/>
                        </a:ext>
                      </a:extLst>
                    </a:blip>
                    <a:stretch>
                      <a:fillRect/>
                    </a:stretch>
                  </pic:blipFill>
                  <pic:spPr>
                    <a:xfrm>
                      <a:off x="0" y="0"/>
                      <a:ext cx="4649157" cy="1124796"/>
                    </a:xfrm>
                    <a:prstGeom prst="rect">
                      <a:avLst/>
                    </a:prstGeom>
                  </pic:spPr>
                </pic:pic>
              </a:graphicData>
            </a:graphic>
          </wp:inline>
        </w:drawing>
      </w:r>
    </w:p>
    <w:p w:rsidR="00AD62B6" w:rsidRPr="006A22E4" w:rsidRDefault="00AD62B6" w:rsidP="007F7258">
      <w:pPr>
        <w:pStyle w:val="Lgende"/>
        <w:rPr>
          <w:lang w:val="en-US"/>
        </w:rPr>
      </w:pPr>
      <w:r w:rsidRPr="006A22E4">
        <w:rPr>
          <w:lang w:val="en-US"/>
        </w:rPr>
        <w:t xml:space="preserve">Figure </w:t>
      </w:r>
      <w:r>
        <w:fldChar w:fldCharType="begin"/>
      </w:r>
      <w:r w:rsidRPr="006A22E4">
        <w:rPr>
          <w:lang w:val="en-US"/>
        </w:rPr>
        <w:instrText xml:space="preserve"> SEQ Figure \* ARABIC </w:instrText>
      </w:r>
      <w:r>
        <w:fldChar w:fldCharType="separate"/>
      </w:r>
      <w:r w:rsidR="006B5789" w:rsidRPr="006A22E4">
        <w:rPr>
          <w:noProof/>
          <w:lang w:val="en-US"/>
        </w:rPr>
        <w:t>1</w:t>
      </w:r>
      <w:r>
        <w:fldChar w:fldCharType="end"/>
      </w:r>
      <w:r w:rsidRPr="006A22E4">
        <w:rPr>
          <w:lang w:val="en-US"/>
        </w:rPr>
        <w:t>: Bent-pipe satellite payload</w:t>
      </w:r>
    </w:p>
    <w:p w:rsidR="0022461B" w:rsidRPr="006A22E4" w:rsidRDefault="0022461B" w:rsidP="0022461B">
      <w:pPr>
        <w:rPr>
          <w:lang w:eastAsia="zh-CN"/>
        </w:rPr>
      </w:pPr>
    </w:p>
    <w:p w:rsidR="008E7116" w:rsidRDefault="00546C60" w:rsidP="008E7116">
      <w:pPr>
        <w:pStyle w:val="Titre2"/>
        <w:numPr>
          <w:ilvl w:val="0"/>
          <w:numId w:val="0"/>
        </w:numPr>
        <w:jc w:val="both"/>
        <w:rPr>
          <w:rFonts w:asciiTheme="minorHAnsi" w:eastAsiaTheme="minorHAnsi" w:hAnsiTheme="minorHAnsi" w:cstheme="minorBidi"/>
          <w:sz w:val="22"/>
          <w:szCs w:val="22"/>
        </w:rPr>
      </w:pPr>
      <w:r w:rsidRPr="008E7116">
        <w:rPr>
          <w:rFonts w:asciiTheme="minorHAnsi" w:eastAsiaTheme="minorHAnsi" w:hAnsiTheme="minorHAnsi" w:cstheme="minorBidi"/>
          <w:sz w:val="22"/>
          <w:szCs w:val="22"/>
        </w:rPr>
        <w:lastRenderedPageBreak/>
        <w:t>The IMUX filter is a band-pass filter which removes out-of-band components. The OMUX filter is a band-pass filter necessary to remove harmonics produced by the power amplifier.</w:t>
      </w:r>
      <w:r w:rsidR="000A4B78">
        <w:t xml:space="preserve"> </w:t>
      </w:r>
      <w:r w:rsidR="008E7116">
        <w:rPr>
          <w:rFonts w:asciiTheme="minorHAnsi" w:eastAsiaTheme="minorHAnsi" w:hAnsiTheme="minorHAnsi" w:cstheme="minorBidi"/>
          <w:sz w:val="22"/>
          <w:szCs w:val="22"/>
        </w:rPr>
        <w:t>IMUX filter is likely to disturb the signal, because of the band edge slope, which creates group delay differences between the centre and the edge of the band. As a rule of thumb, the more input channels are close to each other, the more IMUX have to be selective, and thus the more the filtered signal is disturbed.</w:t>
      </w:r>
      <w:r w:rsidR="008E7116" w:rsidRPr="00AE44E8">
        <w:rPr>
          <w:rFonts w:asciiTheme="minorHAnsi" w:eastAsiaTheme="minorHAnsi" w:hAnsiTheme="minorHAnsi" w:cstheme="minorBidi"/>
          <w:sz w:val="22"/>
          <w:szCs w:val="22"/>
        </w:rPr>
        <w:t xml:space="preserve"> </w:t>
      </w:r>
      <w:r w:rsidR="008E7116" w:rsidRPr="00E05EF8">
        <w:rPr>
          <w:rFonts w:asciiTheme="minorHAnsi" w:eastAsiaTheme="minorHAnsi" w:hAnsiTheme="minorHAnsi" w:cstheme="minorBidi"/>
          <w:sz w:val="22"/>
          <w:szCs w:val="22"/>
        </w:rPr>
        <w:t>OMUX filter create negligible distortion when the signal remains in the flat band of the filter.</w:t>
      </w:r>
    </w:p>
    <w:p w:rsidR="008E7116" w:rsidRDefault="008E7116" w:rsidP="008E7116">
      <w:pPr>
        <w:pStyle w:val="Titre2"/>
        <w:numPr>
          <w:ilvl w:val="0"/>
          <w:numId w:val="0"/>
        </w:numPr>
        <w:ind w:left="576"/>
        <w:jc w:val="both"/>
      </w:pPr>
      <w:r w:rsidRPr="00B81318">
        <w:rPr>
          <w:rFonts w:asciiTheme="minorHAnsi" w:eastAsiaTheme="minorHAnsi" w:hAnsiTheme="minorHAnsi" w:cstheme="minorBidi"/>
          <w:noProof/>
          <w:sz w:val="22"/>
          <w:szCs w:val="22"/>
          <w:lang w:eastAsia="en-GB"/>
        </w:rPr>
        <w:drawing>
          <wp:inline distT="0" distB="0" distL="0" distR="0" wp14:anchorId="578C2EAA" wp14:editId="37E718F5">
            <wp:extent cx="2822713" cy="2081822"/>
            <wp:effectExtent l="0" t="0" r="0" b="0"/>
            <wp:docPr id="11" name="Image 11" descr="W:\octave\40_MHz_g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ctave\40_MHz_gain.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6091"/>
                    <a:stretch/>
                  </pic:blipFill>
                  <pic:spPr bwMode="auto">
                    <a:xfrm>
                      <a:off x="0" y="0"/>
                      <a:ext cx="2824231" cy="2082942"/>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en-GB"/>
        </w:rPr>
        <w:drawing>
          <wp:inline distT="0" distB="0" distL="0" distR="0" wp14:anchorId="37B549BE" wp14:editId="40DAD697">
            <wp:extent cx="2782956" cy="2114490"/>
            <wp:effectExtent l="0" t="0" r="0" b="635"/>
            <wp:docPr id="12" name="Image 12" descr="W:\octave\40_MHz_group_de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octave\40_MHz_group_delay.png"/>
                    <pic:cNvPicPr>
                      <a:picLocks noChangeAspect="1" noChangeArrowheads="1"/>
                    </pic:cNvPicPr>
                  </pic:nvPicPr>
                  <pic:blipFill rotWithShape="1">
                    <a:blip r:embed="rId12">
                      <a:extLst>
                        <a:ext uri="{28A0092B-C50C-407E-A947-70E740481C1C}">
                          <a14:useLocalDpi xmlns:a14="http://schemas.microsoft.com/office/drawing/2010/main" val="0"/>
                        </a:ext>
                      </a:extLst>
                    </a:blip>
                    <a:srcRect r="6250"/>
                    <a:stretch/>
                  </pic:blipFill>
                  <pic:spPr bwMode="auto">
                    <a:xfrm>
                      <a:off x="0" y="0"/>
                      <a:ext cx="2780124" cy="2112339"/>
                    </a:xfrm>
                    <a:prstGeom prst="rect">
                      <a:avLst/>
                    </a:prstGeom>
                    <a:noFill/>
                    <a:ln>
                      <a:noFill/>
                    </a:ln>
                    <a:extLst>
                      <a:ext uri="{53640926-AAD7-44D8-BBD7-CCE9431645EC}">
                        <a14:shadowObscured xmlns:a14="http://schemas.microsoft.com/office/drawing/2010/main"/>
                      </a:ext>
                    </a:extLst>
                  </pic:spPr>
                </pic:pic>
              </a:graphicData>
            </a:graphic>
          </wp:inline>
        </w:drawing>
      </w:r>
    </w:p>
    <w:p w:rsidR="008E7116" w:rsidRDefault="008E7116" w:rsidP="008E7116">
      <w:pPr>
        <w:pStyle w:val="Lgende"/>
      </w:pPr>
      <w:r>
        <w:t xml:space="preserve">Figure </w:t>
      </w:r>
      <w:r>
        <w:fldChar w:fldCharType="begin"/>
      </w:r>
      <w:r>
        <w:instrText xml:space="preserve"> SEQ Figure \* ARABIC </w:instrText>
      </w:r>
      <w:r>
        <w:fldChar w:fldCharType="separate"/>
      </w:r>
      <w:r>
        <w:rPr>
          <w:noProof/>
        </w:rPr>
        <w:t>2</w:t>
      </w:r>
      <w:r>
        <w:fldChar w:fldCharType="end"/>
      </w:r>
      <w:r>
        <w:t xml:space="preserve"> : Typical 40 MHz filter gain and group delay response (signal bandwidth greater or equal to 36 MHz)</w:t>
      </w:r>
    </w:p>
    <w:p w:rsidR="008E7116" w:rsidRDefault="008E7116" w:rsidP="008E7116">
      <w:pPr>
        <w:pStyle w:val="Lgende"/>
      </w:pPr>
      <w:r>
        <w:t>(Source [1], Annex H.7)</w:t>
      </w:r>
    </w:p>
    <w:p w:rsidR="008E7116" w:rsidRPr="00796008" w:rsidRDefault="008E7116" w:rsidP="008E7116"/>
    <w:p w:rsidR="008E7116" w:rsidRDefault="008E7116" w:rsidP="008E7116">
      <w:pPr>
        <w:pStyle w:val="Titre2"/>
        <w:numPr>
          <w:ilvl w:val="0"/>
          <w:numId w:val="0"/>
        </w:numPr>
        <w:ind w:left="576"/>
      </w:pPr>
      <w:r>
        <w:rPr>
          <w:noProof/>
          <w:lang w:eastAsia="en-GB"/>
        </w:rPr>
        <w:drawing>
          <wp:inline distT="0" distB="0" distL="0" distR="0" wp14:anchorId="26672D28" wp14:editId="5F3C2A40">
            <wp:extent cx="2751152" cy="2016057"/>
            <wp:effectExtent l="0" t="0" r="0" b="3810"/>
            <wp:docPr id="16" name="Image 16" descr="W:\octave\250_MHz_g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octave\250_MHz_gain.png"/>
                    <pic:cNvPicPr>
                      <a:picLocks noChangeAspect="1" noChangeArrowheads="1"/>
                    </pic:cNvPicPr>
                  </pic:nvPicPr>
                  <pic:blipFill rotWithShape="1">
                    <a:blip r:embed="rId13">
                      <a:extLst>
                        <a:ext uri="{28A0092B-C50C-407E-A947-70E740481C1C}">
                          <a14:useLocalDpi xmlns:a14="http://schemas.microsoft.com/office/drawing/2010/main" val="0"/>
                        </a:ext>
                      </a:extLst>
                    </a:blip>
                    <a:srcRect r="7479"/>
                    <a:stretch/>
                  </pic:blipFill>
                  <pic:spPr bwMode="auto">
                    <a:xfrm>
                      <a:off x="0" y="0"/>
                      <a:ext cx="2758133" cy="2021173"/>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en-GB"/>
        </w:rPr>
        <w:drawing>
          <wp:inline distT="0" distB="0" distL="0" distR="0" wp14:anchorId="222DC779" wp14:editId="514A27DA">
            <wp:extent cx="2806810" cy="2027307"/>
            <wp:effectExtent l="0" t="0" r="0" b="0"/>
            <wp:docPr id="17" name="Image 17" descr="W:\octave\250_MHz_group_de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octave\250_MHz_group_delay.png"/>
                    <pic:cNvPicPr>
                      <a:picLocks noChangeAspect="1" noChangeArrowheads="1"/>
                    </pic:cNvPicPr>
                  </pic:nvPicPr>
                  <pic:blipFill rotWithShape="1">
                    <a:blip r:embed="rId14">
                      <a:extLst>
                        <a:ext uri="{28A0092B-C50C-407E-A947-70E740481C1C}">
                          <a14:useLocalDpi xmlns:a14="http://schemas.microsoft.com/office/drawing/2010/main" val="0"/>
                        </a:ext>
                      </a:extLst>
                    </a:blip>
                    <a:srcRect r="6452"/>
                    <a:stretch/>
                  </pic:blipFill>
                  <pic:spPr bwMode="auto">
                    <a:xfrm>
                      <a:off x="0" y="0"/>
                      <a:ext cx="2808932" cy="2028840"/>
                    </a:xfrm>
                    <a:prstGeom prst="rect">
                      <a:avLst/>
                    </a:prstGeom>
                    <a:noFill/>
                    <a:ln>
                      <a:noFill/>
                    </a:ln>
                    <a:extLst>
                      <a:ext uri="{53640926-AAD7-44D8-BBD7-CCE9431645EC}">
                        <a14:shadowObscured xmlns:a14="http://schemas.microsoft.com/office/drawing/2010/main"/>
                      </a:ext>
                    </a:extLst>
                  </pic:spPr>
                </pic:pic>
              </a:graphicData>
            </a:graphic>
          </wp:inline>
        </w:drawing>
      </w:r>
    </w:p>
    <w:p w:rsidR="008E7116" w:rsidRDefault="008E7116" w:rsidP="008E7116">
      <w:pPr>
        <w:pStyle w:val="Lgende"/>
      </w:pPr>
      <w:r>
        <w:t xml:space="preserve">Figure </w:t>
      </w:r>
      <w:r>
        <w:fldChar w:fldCharType="begin"/>
      </w:r>
      <w:r>
        <w:instrText xml:space="preserve"> SEQ Figure \* ARABIC </w:instrText>
      </w:r>
      <w:r>
        <w:fldChar w:fldCharType="separate"/>
      </w:r>
      <w:r>
        <w:rPr>
          <w:noProof/>
        </w:rPr>
        <w:t>2</w:t>
      </w:r>
      <w:r>
        <w:fldChar w:fldCharType="end"/>
      </w:r>
      <w:r>
        <w:t xml:space="preserve"> : Typical 250 MHz filter gain and group delay response (signal bandwidth greater or equal to 225 MHz)</w:t>
      </w:r>
    </w:p>
    <w:p w:rsidR="008E7116" w:rsidRDefault="008E7116" w:rsidP="008E7116">
      <w:pPr>
        <w:pStyle w:val="Lgende"/>
      </w:pPr>
      <w:r>
        <w:t>(Source [1], Annex H.7)</w:t>
      </w:r>
    </w:p>
    <w:p w:rsidR="008E7116" w:rsidRDefault="008E7116" w:rsidP="008E7116">
      <w:pPr>
        <w:pStyle w:val="Titre2"/>
        <w:numPr>
          <w:ilvl w:val="0"/>
          <w:numId w:val="0"/>
        </w:num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Here, the group delay difference between </w:t>
      </w:r>
      <w:r w:rsidR="00601635">
        <w:rPr>
          <w:rFonts w:asciiTheme="minorHAnsi" w:eastAsiaTheme="minorHAnsi" w:hAnsiTheme="minorHAnsi" w:cstheme="minorBidi"/>
          <w:sz w:val="22"/>
          <w:szCs w:val="22"/>
        </w:rPr>
        <w:t>centre</w:t>
      </w:r>
      <w:r>
        <w:rPr>
          <w:rFonts w:asciiTheme="minorHAnsi" w:eastAsiaTheme="minorHAnsi" w:hAnsiTheme="minorHAnsi" w:cstheme="minorBidi"/>
          <w:sz w:val="22"/>
          <w:szCs w:val="22"/>
        </w:rPr>
        <w:t xml:space="preserve"> and edge of band is </w:t>
      </w:r>
      <w:r w:rsidR="00601635">
        <w:rPr>
          <w:rFonts w:asciiTheme="minorHAnsi" w:eastAsiaTheme="minorHAnsi" w:hAnsiTheme="minorHAnsi" w:cstheme="minorBidi"/>
          <w:sz w:val="22"/>
          <w:szCs w:val="22"/>
        </w:rPr>
        <w:t>approximately</w:t>
      </w:r>
      <w:r>
        <w:rPr>
          <w:rFonts w:asciiTheme="minorHAnsi" w:eastAsiaTheme="minorHAnsi" w:hAnsiTheme="minorHAnsi" w:cstheme="minorBidi"/>
          <w:sz w:val="22"/>
          <w:szCs w:val="22"/>
        </w:rPr>
        <w:t xml:space="preserve"> of 2 complex symbols (40 MHz case) or 4.5 symbols (250 MHz case).</w:t>
      </w:r>
    </w:p>
    <w:p w:rsidR="00A15C3A" w:rsidRPr="000A4B78" w:rsidRDefault="004E0048" w:rsidP="000A4B78">
      <w:pPr>
        <w:jc w:val="both"/>
        <w:rPr>
          <w:lang w:val="en-GB" w:eastAsia="zh-CN"/>
        </w:rPr>
      </w:pPr>
      <w:r>
        <w:rPr>
          <w:lang w:val="en-GB" w:eastAsia="zh-CN"/>
        </w:rPr>
        <w:t xml:space="preserve">The power amplifier behaves like a non-linear device since it is generally used closed to its saturation point for power efficiency issues. </w:t>
      </w:r>
      <w:r w:rsidR="00A15C3A" w:rsidRPr="00554FBC">
        <w:t>The Saleh model</w:t>
      </w:r>
      <w:r w:rsidR="00FA3413">
        <w:t xml:space="preserve"> [</w:t>
      </w:r>
      <w:r w:rsidR="008E7116">
        <w:t>2</w:t>
      </w:r>
      <w:r w:rsidR="00FA3413">
        <w:t>]</w:t>
      </w:r>
      <w:r w:rsidR="00A15C3A" w:rsidRPr="00554FBC">
        <w:t xml:space="preserve"> is the most well-known power amplifier model, given by </w:t>
      </w:r>
      <w:r w:rsidR="00FA3413">
        <w:t>following equations</w:t>
      </w:r>
      <w:r w:rsidR="00A15C3A" w:rsidRPr="00554FBC">
        <w:t>:</w:t>
      </w:r>
    </w:p>
    <w:p w:rsidR="00A15C3A" w:rsidRPr="00554FBC" w:rsidRDefault="00A15C3A" w:rsidP="00A15C3A">
      <w:pPr>
        <w:rPr>
          <w:lang w:val="en-GB" w:eastAsia="zh-CN"/>
        </w:rPr>
      </w:pPr>
      <m:oMathPara>
        <m:oMath>
          <m:r>
            <w:rPr>
              <w:rFonts w:ascii="Cambria Math" w:hAnsi="Cambria Math"/>
              <w:lang w:val="en-GB" w:eastAsia="zh-CN"/>
            </w:rPr>
            <w:lastRenderedPageBreak/>
            <m:t>A</m:t>
          </m:r>
          <m:d>
            <m:dPr>
              <m:ctrlPr>
                <w:rPr>
                  <w:rFonts w:ascii="Cambria Math" w:hAnsi="Cambria Math"/>
                  <w:i/>
                  <w:lang w:val="en-GB" w:eastAsia="zh-CN"/>
                </w:rPr>
              </m:ctrlPr>
            </m:dPr>
            <m:e>
              <m:r>
                <w:rPr>
                  <w:rFonts w:ascii="Cambria Math" w:hAnsi="Cambria Math"/>
                  <w:lang w:val="en-GB" w:eastAsia="zh-CN"/>
                </w:rPr>
                <m:t>r</m:t>
              </m:r>
            </m:e>
          </m:d>
          <m:r>
            <w:rPr>
              <w:rFonts w:ascii="Cambria Math" w:hAnsi="Cambria Math"/>
              <w:lang w:val="en-GB" w:eastAsia="zh-CN"/>
            </w:rPr>
            <m:t xml:space="preserve">= </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a</m:t>
                  </m:r>
                </m:sub>
              </m:sSub>
              <m:r>
                <w:rPr>
                  <w:rFonts w:ascii="Cambria Math" w:hAnsi="Cambria Math"/>
                  <w:lang w:val="en-GB" w:eastAsia="zh-CN"/>
                </w:rPr>
                <m:t>r</m:t>
              </m:r>
            </m:num>
            <m:den>
              <m:r>
                <w:rPr>
                  <w:rFonts w:ascii="Cambria Math" w:hAnsi="Cambria Math"/>
                  <w:lang w:val="en-GB" w:eastAsia="zh-CN"/>
                </w:rPr>
                <m:t>1+</m:t>
              </m:r>
              <m:sSub>
                <m:sSubPr>
                  <m:ctrlPr>
                    <w:rPr>
                      <w:rFonts w:ascii="Cambria Math" w:hAnsi="Cambria Math"/>
                      <w:i/>
                      <w:lang w:val="en-GB" w:eastAsia="zh-CN"/>
                    </w:rPr>
                  </m:ctrlPr>
                </m:sSubPr>
                <m:e>
                  <m:r>
                    <w:rPr>
                      <w:rFonts w:ascii="Cambria Math" w:hAnsi="Cambria Math"/>
                      <w:lang w:val="en-GB" w:eastAsia="zh-CN"/>
                    </w:rPr>
                    <m:t>β</m:t>
                  </m:r>
                </m:e>
                <m:sub>
                  <m:r>
                    <w:rPr>
                      <w:rFonts w:ascii="Cambria Math" w:hAnsi="Cambria Math"/>
                      <w:lang w:val="en-GB" w:eastAsia="zh-CN"/>
                    </w:rPr>
                    <m:t>a</m:t>
                  </m:r>
                </m:sub>
              </m:sSub>
              <m:r>
                <w:rPr>
                  <w:rFonts w:ascii="Cambria Math" w:hAnsi="Cambria Math"/>
                  <w:lang w:val="en-GB" w:eastAsia="zh-CN"/>
                </w:rPr>
                <m:t>r²</m:t>
              </m:r>
            </m:den>
          </m:f>
        </m:oMath>
      </m:oMathPara>
    </w:p>
    <w:p w:rsidR="00A15C3A" w:rsidRPr="00554FBC" w:rsidRDefault="00A15C3A" w:rsidP="00A15C3A">
      <w:pPr>
        <w:rPr>
          <w:rFonts w:eastAsiaTheme="minorEastAsia"/>
          <w:lang w:val="en-GB" w:eastAsia="zh-CN"/>
        </w:rPr>
      </w:pPr>
      <m:oMathPara>
        <m:oMath>
          <m:r>
            <w:rPr>
              <w:rFonts w:ascii="Cambria Math" w:hAnsi="Cambria Math"/>
              <w:lang w:val="en-GB" w:eastAsia="zh-CN"/>
            </w:rPr>
            <m:t>φ</m:t>
          </m:r>
          <m:d>
            <m:dPr>
              <m:ctrlPr>
                <w:rPr>
                  <w:rFonts w:ascii="Cambria Math" w:hAnsi="Cambria Math"/>
                  <w:i/>
                  <w:lang w:val="en-GB" w:eastAsia="zh-CN"/>
                </w:rPr>
              </m:ctrlPr>
            </m:dPr>
            <m:e>
              <m:r>
                <w:rPr>
                  <w:rFonts w:ascii="Cambria Math" w:hAnsi="Cambria Math"/>
                  <w:lang w:val="en-GB" w:eastAsia="zh-CN"/>
                </w:rPr>
                <m:t>r</m:t>
              </m:r>
            </m:e>
          </m:d>
          <m:r>
            <w:rPr>
              <w:rFonts w:ascii="Cambria Math" w:hAnsi="Cambria Math"/>
              <w:lang w:val="en-GB" w:eastAsia="zh-CN"/>
            </w:rPr>
            <m:t xml:space="preserve">= </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φ</m:t>
                  </m:r>
                </m:sub>
              </m:sSub>
              <m:r>
                <w:rPr>
                  <w:rFonts w:ascii="Cambria Math" w:hAnsi="Cambria Math"/>
                  <w:lang w:val="en-GB" w:eastAsia="zh-CN"/>
                </w:rPr>
                <m:t>r²</m:t>
              </m:r>
            </m:num>
            <m:den>
              <m:r>
                <w:rPr>
                  <w:rFonts w:ascii="Cambria Math" w:hAnsi="Cambria Math"/>
                  <w:lang w:val="en-GB" w:eastAsia="zh-CN"/>
                </w:rPr>
                <m:t>1+</m:t>
              </m:r>
              <m:sSub>
                <m:sSubPr>
                  <m:ctrlPr>
                    <w:rPr>
                      <w:rFonts w:ascii="Cambria Math" w:hAnsi="Cambria Math"/>
                      <w:i/>
                      <w:lang w:val="en-GB" w:eastAsia="zh-CN"/>
                    </w:rPr>
                  </m:ctrlPr>
                </m:sSubPr>
                <m:e>
                  <m:r>
                    <w:rPr>
                      <w:rFonts w:ascii="Cambria Math" w:hAnsi="Cambria Math"/>
                      <w:lang w:val="en-GB" w:eastAsia="zh-CN"/>
                    </w:rPr>
                    <m:t>β</m:t>
                  </m:r>
                </m:e>
                <m:sub>
                  <m:r>
                    <w:rPr>
                      <w:rFonts w:ascii="Cambria Math" w:hAnsi="Cambria Math"/>
                      <w:lang w:val="en-GB" w:eastAsia="zh-CN"/>
                    </w:rPr>
                    <m:t>φ</m:t>
                  </m:r>
                </m:sub>
              </m:sSub>
              <m:r>
                <w:rPr>
                  <w:rFonts w:ascii="Cambria Math" w:hAnsi="Cambria Math"/>
                  <w:lang w:val="en-GB" w:eastAsia="zh-CN"/>
                </w:rPr>
                <m:t>r²</m:t>
              </m:r>
            </m:den>
          </m:f>
        </m:oMath>
      </m:oMathPara>
    </w:p>
    <w:p w:rsidR="006C373D" w:rsidRDefault="00A15C3A" w:rsidP="000A6EA6">
      <w:pPr>
        <w:jc w:val="both"/>
        <w:rPr>
          <w:rFonts w:eastAsiaTheme="minorEastAsia"/>
          <w:lang w:val="en-GB" w:eastAsia="zh-CN"/>
        </w:rPr>
      </w:pPr>
      <w:r w:rsidRPr="00554FBC">
        <w:rPr>
          <w:rFonts w:eastAsiaTheme="minorEastAsia"/>
          <w:lang w:val="en-GB" w:eastAsia="zh-CN"/>
        </w:rPr>
        <w:t xml:space="preserve">Where </w:t>
      </w:r>
      <m:oMath>
        <m:r>
          <w:rPr>
            <w:rFonts w:ascii="Cambria Math" w:hAnsi="Cambria Math"/>
            <w:lang w:val="en-GB" w:eastAsia="zh-CN"/>
          </w:rPr>
          <m:t>r</m:t>
        </m:r>
      </m:oMath>
      <w:r w:rsidRPr="00554FBC">
        <w:rPr>
          <w:rFonts w:eastAsiaTheme="minorEastAsia"/>
          <w:lang w:val="en-GB" w:eastAsia="zh-CN"/>
        </w:rPr>
        <w:t xml:space="preserve"> is the input</w:t>
      </w:r>
      <w:r w:rsidR="00FA3413">
        <w:rPr>
          <w:rFonts w:eastAsiaTheme="minorEastAsia"/>
          <w:lang w:val="en-GB" w:eastAsia="zh-CN"/>
        </w:rPr>
        <w:t xml:space="preserve"> </w:t>
      </w:r>
      <w:r w:rsidR="00FA3413" w:rsidRPr="00554FBC">
        <w:rPr>
          <w:rFonts w:eastAsiaTheme="minorEastAsia"/>
          <w:lang w:val="en-GB" w:eastAsia="zh-CN"/>
        </w:rPr>
        <w:t>signal</w:t>
      </w:r>
      <w:r w:rsidRPr="00554FBC">
        <w:rPr>
          <w:rFonts w:eastAsiaTheme="minorEastAsia"/>
          <w:lang w:val="en-GB" w:eastAsia="zh-CN"/>
        </w:rPr>
        <w:t xml:space="preserve"> amplitude, </w:t>
      </w:r>
      <m:oMath>
        <m:r>
          <w:rPr>
            <w:rFonts w:ascii="Cambria Math" w:hAnsi="Cambria Math"/>
            <w:lang w:val="en-GB" w:eastAsia="zh-CN"/>
          </w:rPr>
          <m:t>A</m:t>
        </m:r>
        <m:d>
          <m:dPr>
            <m:ctrlPr>
              <w:rPr>
                <w:rFonts w:ascii="Cambria Math" w:hAnsi="Cambria Math"/>
                <w:i/>
                <w:lang w:val="en-GB" w:eastAsia="zh-CN"/>
              </w:rPr>
            </m:ctrlPr>
          </m:dPr>
          <m:e>
            <m:r>
              <w:rPr>
                <w:rFonts w:ascii="Cambria Math" w:hAnsi="Cambria Math"/>
                <w:lang w:val="en-GB" w:eastAsia="zh-CN"/>
              </w:rPr>
              <m:t>r</m:t>
            </m:r>
          </m:e>
        </m:d>
      </m:oMath>
      <w:r w:rsidR="00FA3413">
        <w:rPr>
          <w:rFonts w:eastAsiaTheme="minorEastAsia"/>
          <w:lang w:val="en-GB" w:eastAsia="zh-CN"/>
        </w:rPr>
        <w:t xml:space="preserve"> is the </w:t>
      </w:r>
      <w:r w:rsidRPr="00554FBC">
        <w:rPr>
          <w:rFonts w:eastAsiaTheme="minorEastAsia"/>
          <w:lang w:val="en-GB" w:eastAsia="zh-CN"/>
        </w:rPr>
        <w:t>output</w:t>
      </w:r>
      <w:r w:rsidR="00FA3413">
        <w:rPr>
          <w:rFonts w:eastAsiaTheme="minorEastAsia"/>
          <w:lang w:val="en-GB" w:eastAsia="zh-CN"/>
        </w:rPr>
        <w:t xml:space="preserve"> </w:t>
      </w:r>
      <w:r w:rsidR="00FA3413" w:rsidRPr="00554FBC">
        <w:rPr>
          <w:rFonts w:eastAsiaTheme="minorEastAsia"/>
          <w:lang w:val="en-GB" w:eastAsia="zh-CN"/>
        </w:rPr>
        <w:t>signal</w:t>
      </w:r>
      <w:r w:rsidRPr="00554FBC">
        <w:rPr>
          <w:rFonts w:eastAsiaTheme="minorEastAsia"/>
          <w:lang w:val="en-GB" w:eastAsia="zh-CN"/>
        </w:rPr>
        <w:t xml:space="preserve"> amplitude, </w:t>
      </w:r>
      <m:oMath>
        <m:r>
          <w:rPr>
            <w:rFonts w:ascii="Cambria Math" w:hAnsi="Cambria Math"/>
            <w:lang w:val="en-GB" w:eastAsia="zh-CN"/>
          </w:rPr>
          <m:t>φ</m:t>
        </m:r>
        <m:d>
          <m:dPr>
            <m:ctrlPr>
              <w:rPr>
                <w:rFonts w:ascii="Cambria Math" w:hAnsi="Cambria Math"/>
                <w:i/>
                <w:lang w:val="en-GB" w:eastAsia="zh-CN"/>
              </w:rPr>
            </m:ctrlPr>
          </m:dPr>
          <m:e>
            <m:r>
              <w:rPr>
                <w:rFonts w:ascii="Cambria Math" w:hAnsi="Cambria Math"/>
                <w:lang w:val="en-GB" w:eastAsia="zh-CN"/>
              </w:rPr>
              <m:t>r</m:t>
            </m:r>
          </m:e>
        </m:d>
      </m:oMath>
      <w:r w:rsidRPr="00554FBC">
        <w:rPr>
          <w:rFonts w:eastAsiaTheme="minorEastAsia"/>
          <w:lang w:val="en-GB" w:eastAsia="zh-CN"/>
        </w:rPr>
        <w:t xml:space="preserve"> is the phase shift in radians between the input and output signals,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a</m:t>
            </m:r>
          </m:sub>
        </m:sSub>
        <m:r>
          <w:rPr>
            <w:rFonts w:ascii="Cambria Math" w:hAnsi="Cambria Math"/>
            <w:lang w:val="en-GB" w:eastAsia="zh-CN"/>
          </w:rPr>
          <m:t>,</m:t>
        </m:r>
      </m:oMath>
      <w:r w:rsidRPr="00554FBC">
        <w:rPr>
          <w:rFonts w:eastAsiaTheme="minorEastAsia"/>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β</m:t>
            </m:r>
          </m:e>
          <m:sub>
            <m:r>
              <w:rPr>
                <w:rFonts w:ascii="Cambria Math" w:hAnsi="Cambria Math"/>
                <w:lang w:val="en-GB" w:eastAsia="zh-CN"/>
              </w:rPr>
              <m:t>a</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φ</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β</m:t>
            </m:r>
          </m:e>
          <m:sub>
            <m:r>
              <w:rPr>
                <w:rFonts w:ascii="Cambria Math" w:hAnsi="Cambria Math"/>
                <w:lang w:val="en-GB" w:eastAsia="zh-CN"/>
              </w:rPr>
              <m:t>φ</m:t>
            </m:r>
          </m:sub>
        </m:sSub>
      </m:oMath>
      <w:r w:rsidRPr="00554FBC">
        <w:rPr>
          <w:rFonts w:eastAsiaTheme="minorEastAsia"/>
          <w:lang w:val="en-GB" w:eastAsia="zh-CN"/>
        </w:rPr>
        <w:t xml:space="preserve"> are parameters</w:t>
      </w:r>
      <w:r w:rsidR="00EC57E0">
        <w:rPr>
          <w:rFonts w:eastAsiaTheme="minorEastAsia"/>
          <w:lang w:val="en-GB" w:eastAsia="zh-CN"/>
        </w:rPr>
        <w:t xml:space="preserve"> that must be chosen to best fit to the considered power amplifier</w:t>
      </w:r>
      <w:r w:rsidRPr="00554FBC">
        <w:rPr>
          <w:rFonts w:eastAsiaTheme="minorEastAsia"/>
          <w:lang w:val="en-GB" w:eastAsia="zh-CN"/>
        </w:rPr>
        <w:t>.</w:t>
      </w:r>
      <w:r w:rsidR="00EC57E0">
        <w:rPr>
          <w:rFonts w:eastAsiaTheme="minorEastAsia"/>
          <w:lang w:val="en-GB" w:eastAsia="zh-CN"/>
        </w:rPr>
        <w:t xml:space="preserve"> Typical values are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a</m:t>
            </m:r>
          </m:sub>
        </m:sSub>
        <m:r>
          <w:rPr>
            <w:rFonts w:ascii="Cambria Math" w:hAnsi="Cambria Math"/>
            <w:lang w:val="en-GB" w:eastAsia="zh-CN"/>
          </w:rPr>
          <m:t>=2,</m:t>
        </m:r>
      </m:oMath>
      <w:r w:rsidR="00EC57E0" w:rsidRPr="00554FBC">
        <w:rPr>
          <w:rFonts w:eastAsiaTheme="minorEastAsia"/>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β</m:t>
            </m:r>
          </m:e>
          <m:sub>
            <m:r>
              <w:rPr>
                <w:rFonts w:ascii="Cambria Math" w:hAnsi="Cambria Math"/>
                <w:lang w:val="en-GB" w:eastAsia="zh-CN"/>
              </w:rPr>
              <m:t>a</m:t>
            </m:r>
          </m:sub>
        </m:sSub>
        <m:r>
          <w:rPr>
            <w:rFonts w:ascii="Cambria Math" w:hAnsi="Cambria Math"/>
            <w:lang w:val="en-GB" w:eastAsia="zh-CN"/>
          </w:rPr>
          <m:t xml:space="preserve">=1, </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φ</m:t>
            </m:r>
          </m:sub>
        </m:sSub>
        <m:r>
          <w:rPr>
            <w:rFonts w:ascii="Cambria Math" w:hAnsi="Cambria Math"/>
            <w:lang w:val="en-GB" w:eastAsia="zh-CN"/>
          </w:rPr>
          <m:t xml:space="preserve">=1 and  </m:t>
        </m:r>
        <m:sSub>
          <m:sSubPr>
            <m:ctrlPr>
              <w:rPr>
                <w:rFonts w:ascii="Cambria Math" w:hAnsi="Cambria Math"/>
                <w:i/>
                <w:lang w:val="en-GB" w:eastAsia="zh-CN"/>
              </w:rPr>
            </m:ctrlPr>
          </m:sSubPr>
          <m:e>
            <m:r>
              <w:rPr>
                <w:rFonts w:ascii="Cambria Math" w:hAnsi="Cambria Math"/>
                <w:lang w:val="en-GB" w:eastAsia="zh-CN"/>
              </w:rPr>
              <m:t>β</m:t>
            </m:r>
          </m:e>
          <m:sub>
            <m:r>
              <w:rPr>
                <w:rFonts w:ascii="Cambria Math" w:hAnsi="Cambria Math"/>
                <w:lang w:val="en-GB" w:eastAsia="zh-CN"/>
              </w:rPr>
              <m:t>φ</m:t>
            </m:r>
          </m:sub>
        </m:sSub>
        <m:r>
          <w:rPr>
            <w:rFonts w:ascii="Cambria Math" w:hAnsi="Cambria Math"/>
            <w:lang w:val="en-GB" w:eastAsia="zh-CN"/>
          </w:rPr>
          <m:t>=1.</m:t>
        </m:r>
      </m:oMath>
    </w:p>
    <w:p w:rsidR="00A15C3A" w:rsidRPr="000A6EA6" w:rsidRDefault="00A15C3A" w:rsidP="000A6EA6">
      <w:pPr>
        <w:jc w:val="both"/>
        <w:rPr>
          <w:lang w:val="en-GB" w:eastAsia="zh-CN"/>
        </w:rPr>
      </w:pPr>
      <w:r w:rsidRPr="00554FBC">
        <w:t xml:space="preserve">The most well-known phase </w:t>
      </w:r>
      <w:r w:rsidR="00FA3413">
        <w:t xml:space="preserve">noise </w:t>
      </w:r>
      <w:r w:rsidRPr="00554FBC">
        <w:t xml:space="preserve">model </w:t>
      </w:r>
      <w:r w:rsidR="00F1012B">
        <w:t xml:space="preserve">for feedback oscillators </w:t>
      </w:r>
      <w:r w:rsidRPr="00554FBC">
        <w:t>is the Leeson’s model [</w:t>
      </w:r>
      <w:r w:rsidR="009120D8">
        <w:t>3</w:t>
      </w:r>
      <w:r w:rsidRPr="00554FBC">
        <w:t>], given by the following equation:</w:t>
      </w:r>
    </w:p>
    <w:p w:rsidR="00A15C3A" w:rsidRPr="00554FBC" w:rsidRDefault="001B6A96" w:rsidP="00F1012B">
      <w:pP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S</m:t>
              </m:r>
            </m:e>
            <m:sub>
              <m:r>
                <w:rPr>
                  <w:rFonts w:ascii="Cambria Math" w:hAnsi="Cambria Math"/>
                  <w:lang w:val="en-GB" w:eastAsia="zh-CN"/>
                </w:rPr>
                <m:t>φ</m:t>
              </m:r>
            </m:sub>
          </m:sSub>
          <m:d>
            <m:dPr>
              <m:ctrlPr>
                <w:rPr>
                  <w:rFonts w:ascii="Cambria Math" w:hAnsi="Cambria Math"/>
                  <w:i/>
                  <w:lang w:val="en-GB" w:eastAsia="zh-CN"/>
                </w:rPr>
              </m:ctrlPr>
            </m:dPr>
            <m:e>
              <m:r>
                <w:rPr>
                  <w:rFonts w:ascii="Cambria Math" w:hAnsi="Cambria Math"/>
                  <w:lang w:val="en-GB" w:eastAsia="zh-CN"/>
                </w:rPr>
                <m:t>∆w</m:t>
              </m:r>
            </m:e>
          </m:d>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2FKT</m:t>
              </m:r>
            </m:num>
            <m:den>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in</m:t>
                  </m:r>
                </m:sub>
              </m:sSub>
            </m:den>
          </m:f>
          <m:d>
            <m:dPr>
              <m:ctrlPr>
                <w:rPr>
                  <w:rFonts w:ascii="Cambria Math" w:eastAsiaTheme="minorEastAsia" w:hAnsi="Cambria Math"/>
                  <w:i/>
                  <w:lang w:val="en-GB" w:eastAsia="zh-CN"/>
                </w:rPr>
              </m:ctrlPr>
            </m:dPr>
            <m:e>
              <m:r>
                <w:rPr>
                  <w:rFonts w:ascii="Cambria Math" w:eastAsiaTheme="minorEastAsia" w:hAnsi="Cambria Math"/>
                  <w:lang w:val="en-GB" w:eastAsia="zh-CN"/>
                </w:rPr>
                <m:t>1+(</m:t>
              </m:r>
              <m:f>
                <m:fPr>
                  <m:ctrlPr>
                    <w:rPr>
                      <w:rFonts w:ascii="Cambria Math" w:eastAsiaTheme="minorEastAsia" w:hAnsi="Cambria Math"/>
                      <w:i/>
                      <w:lang w:val="en-GB" w:eastAsia="zh-CN"/>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0</m:t>
                      </m:r>
                    </m:sub>
                  </m:sSub>
                </m:num>
                <m:den>
                  <m:r>
                    <w:rPr>
                      <w:rFonts w:ascii="Cambria Math" w:eastAsiaTheme="minorEastAsia" w:hAnsi="Cambria Math"/>
                      <w:lang w:val="en-GB" w:eastAsia="zh-CN"/>
                    </w:rPr>
                    <m:t>2Q</m:t>
                  </m:r>
                  <m:r>
                    <w:rPr>
                      <w:rFonts w:ascii="Cambria Math" w:hAnsi="Cambria Math"/>
                      <w:lang w:val="en-GB" w:eastAsia="zh-CN"/>
                    </w:rPr>
                    <m:t>∆w</m:t>
                  </m:r>
                </m:den>
              </m:f>
              <m:r>
                <w:rPr>
                  <w:rFonts w:ascii="Cambria Math" w:eastAsiaTheme="minorEastAsia" w:hAnsi="Cambria Math"/>
                  <w:lang w:val="en-GB" w:eastAsia="zh-CN"/>
                </w:rPr>
                <m:t>)²</m:t>
              </m:r>
            </m:e>
          </m:d>
        </m:oMath>
      </m:oMathPara>
    </w:p>
    <w:p w:rsidR="00D83436" w:rsidRDefault="00A15C3A" w:rsidP="00554FBC">
      <w:pPr>
        <w:jc w:val="both"/>
        <w:rPr>
          <w:rFonts w:eastAsiaTheme="minorEastAsia"/>
          <w:lang w:val="en-GB" w:eastAsia="zh-CN"/>
        </w:rPr>
      </w:pPr>
      <w:r w:rsidRPr="00554FBC">
        <w:rPr>
          <w:lang w:eastAsia="zh-CN"/>
        </w:rPr>
        <w:t xml:space="preserve">Where </w:t>
      </w:r>
      <m:oMath>
        <m:sSub>
          <m:sSubPr>
            <m:ctrlPr>
              <w:rPr>
                <w:rFonts w:ascii="Cambria Math" w:hAnsi="Cambria Math"/>
                <w:i/>
                <w:lang w:val="en-GB" w:eastAsia="zh-CN"/>
              </w:rPr>
            </m:ctrlPr>
          </m:sSubPr>
          <m:e>
            <m:r>
              <w:rPr>
                <w:rFonts w:ascii="Cambria Math" w:hAnsi="Cambria Math"/>
                <w:lang w:val="en-GB" w:eastAsia="zh-CN"/>
              </w:rPr>
              <m:t>S</m:t>
            </m:r>
          </m:e>
          <m:sub>
            <m:r>
              <w:rPr>
                <w:rFonts w:ascii="Cambria Math" w:hAnsi="Cambria Math"/>
                <w:lang w:val="en-GB" w:eastAsia="zh-CN"/>
              </w:rPr>
              <m:t>φ</m:t>
            </m:r>
          </m:sub>
        </m:sSub>
      </m:oMath>
      <w:r w:rsidRPr="00554FBC">
        <w:rPr>
          <w:rFonts w:eastAsiaTheme="minorEastAsia"/>
          <w:lang w:val="en-GB" w:eastAsia="zh-CN"/>
        </w:rPr>
        <w:t xml:space="preserve"> is the phase noise function of the offset frequency </w:t>
      </w:r>
      <m:oMath>
        <m:r>
          <w:rPr>
            <w:rFonts w:ascii="Cambria Math" w:hAnsi="Cambria Math"/>
            <w:lang w:val="en-GB" w:eastAsia="zh-CN"/>
          </w:rPr>
          <m:t>∆w</m:t>
        </m:r>
      </m:oMath>
      <w:r w:rsidRPr="00554FBC">
        <w:rPr>
          <w:rFonts w:eastAsiaTheme="minorEastAsia"/>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w</m:t>
            </m:r>
          </m:e>
          <m:sub>
            <m:r>
              <w:rPr>
                <w:rFonts w:ascii="Cambria Math" w:hAnsi="Cambria Math"/>
                <w:lang w:val="en-GB" w:eastAsia="zh-CN"/>
              </w:rPr>
              <m:t>0</m:t>
            </m:r>
          </m:sub>
        </m:sSub>
        <m:r>
          <w:rPr>
            <w:rFonts w:ascii="Cambria Math" w:hAnsi="Cambria Math"/>
            <w:lang w:val="en-GB" w:eastAsia="zh-CN"/>
          </w:rPr>
          <m:t xml:space="preserve"> </m:t>
        </m:r>
      </m:oMath>
      <w:r w:rsidRPr="00554FBC">
        <w:rPr>
          <w:rFonts w:eastAsiaTheme="minorEastAsia"/>
          <w:lang w:val="en-GB" w:eastAsia="zh-CN"/>
        </w:rPr>
        <w:t xml:space="preserve">the </w:t>
      </w:r>
      <w:r w:rsidR="00FA3413">
        <w:rPr>
          <w:rFonts w:eastAsiaTheme="minorEastAsia"/>
          <w:lang w:val="en-GB" w:eastAsia="zh-CN"/>
        </w:rPr>
        <w:t xml:space="preserve">oscillator </w:t>
      </w:r>
      <w:r w:rsidRPr="00554FBC">
        <w:rPr>
          <w:rFonts w:eastAsiaTheme="minorEastAsia"/>
          <w:lang w:val="en-GB" w:eastAsia="zh-CN"/>
        </w:rPr>
        <w:t xml:space="preserve">frequency,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in</m:t>
            </m:r>
          </m:sub>
        </m:sSub>
      </m:oMath>
      <w:r w:rsidR="003834D0">
        <w:rPr>
          <w:rFonts w:eastAsiaTheme="minorEastAsia"/>
          <w:lang w:val="en-GB" w:eastAsia="zh-CN"/>
        </w:rPr>
        <w:t xml:space="preserve"> the </w:t>
      </w:r>
      <w:r w:rsidRPr="00554FBC">
        <w:rPr>
          <w:rFonts w:eastAsiaTheme="minorEastAsia"/>
          <w:lang w:val="en-GB" w:eastAsia="zh-CN"/>
        </w:rPr>
        <w:t>power</w:t>
      </w:r>
      <w:r w:rsidR="003834D0">
        <w:rPr>
          <w:rFonts w:eastAsiaTheme="minorEastAsia"/>
          <w:lang w:val="en-GB" w:eastAsia="zh-CN"/>
        </w:rPr>
        <w:t xml:space="preserve"> at the oscillator input</w:t>
      </w:r>
      <w:r w:rsidRPr="00554FBC">
        <w:rPr>
          <w:rFonts w:eastAsiaTheme="minorEastAsia"/>
          <w:lang w:val="en-GB" w:eastAsia="zh-CN"/>
        </w:rPr>
        <w:t xml:space="preserve">, </w:t>
      </w:r>
      <m:oMath>
        <m:r>
          <w:rPr>
            <w:rFonts w:ascii="Cambria Math" w:hAnsi="Cambria Math"/>
            <w:lang w:val="en-GB" w:eastAsia="zh-CN"/>
          </w:rPr>
          <m:t>K</m:t>
        </m:r>
      </m:oMath>
      <w:r w:rsidRPr="00554FBC">
        <w:rPr>
          <w:rFonts w:eastAsiaTheme="minorEastAsia"/>
          <w:lang w:val="en-GB" w:eastAsia="zh-CN"/>
        </w:rPr>
        <w:t xml:space="preserve"> the Boltzman’s constant, </w:t>
      </w:r>
      <m:oMath>
        <m:r>
          <w:rPr>
            <w:rFonts w:ascii="Cambria Math" w:hAnsi="Cambria Math"/>
            <w:lang w:val="en-GB" w:eastAsia="zh-CN"/>
          </w:rPr>
          <m:t>T</m:t>
        </m:r>
      </m:oMath>
      <w:r w:rsidRPr="00554FBC">
        <w:rPr>
          <w:rFonts w:eastAsiaTheme="minorEastAsia"/>
          <w:lang w:val="en-GB" w:eastAsia="zh-CN"/>
        </w:rPr>
        <w:t xml:space="preserve"> the absolute temperature</w:t>
      </w:r>
      <w:r w:rsidR="00F1012B">
        <w:rPr>
          <w:rFonts w:eastAsiaTheme="minorEastAsia"/>
          <w:lang w:val="en-GB" w:eastAsia="zh-CN"/>
        </w:rPr>
        <w:t>, F the</w:t>
      </w:r>
      <w:r w:rsidR="00365AA4">
        <w:rPr>
          <w:rFonts w:eastAsiaTheme="minorEastAsia"/>
          <w:lang w:val="en-GB" w:eastAsia="zh-CN"/>
        </w:rPr>
        <w:t xml:space="preserve"> oscillator </w:t>
      </w:r>
      <w:r w:rsidR="00F1012B">
        <w:rPr>
          <w:rFonts w:eastAsiaTheme="minorEastAsia"/>
          <w:lang w:val="en-GB" w:eastAsia="zh-CN"/>
        </w:rPr>
        <w:t>effective noise figure and Q the</w:t>
      </w:r>
      <w:r w:rsidR="00365AA4">
        <w:rPr>
          <w:rFonts w:eastAsiaTheme="minorEastAsia"/>
          <w:lang w:val="en-GB" w:eastAsia="zh-CN"/>
        </w:rPr>
        <w:t xml:space="preserve"> oscillator</w:t>
      </w:r>
      <w:r w:rsidR="00F1012B">
        <w:rPr>
          <w:rFonts w:eastAsiaTheme="minorEastAsia"/>
          <w:lang w:val="en-GB" w:eastAsia="zh-CN"/>
        </w:rPr>
        <w:t xml:space="preserve"> quality factor</w:t>
      </w:r>
      <w:r w:rsidRPr="00554FBC">
        <w:rPr>
          <w:rFonts w:eastAsiaTheme="minorEastAsia"/>
          <w:lang w:val="en-GB" w:eastAsia="zh-CN"/>
        </w:rPr>
        <w:t>.</w:t>
      </w:r>
    </w:p>
    <w:p w:rsidR="009120D8" w:rsidRDefault="009120D8" w:rsidP="00750B41">
      <w:pPr>
        <w:pStyle w:val="Titre2"/>
      </w:pPr>
    </w:p>
    <w:p w:rsidR="00750B41" w:rsidRDefault="00103E90" w:rsidP="00750B41">
      <w:pPr>
        <w:pStyle w:val="Titre2"/>
      </w:pPr>
      <w:r>
        <w:t xml:space="preserve">6.3 </w:t>
      </w:r>
      <w:r w:rsidR="00750B41">
        <w:t>Path loss model</w:t>
      </w:r>
    </w:p>
    <w:p w:rsidR="004E0048" w:rsidRDefault="00BD158B" w:rsidP="004E0048">
      <w:pPr>
        <w:rPr>
          <w:lang w:val="en-GB" w:eastAsia="zh-CN"/>
        </w:rPr>
      </w:pPr>
      <w:r>
        <w:rPr>
          <w:lang w:val="en-GB" w:eastAsia="zh-CN"/>
        </w:rPr>
        <w:t xml:space="preserve">Since </w:t>
      </w:r>
      <w:proofErr w:type="spellStart"/>
      <w:r>
        <w:rPr>
          <w:lang w:val="en-GB" w:eastAsia="zh-CN"/>
        </w:rPr>
        <w:t>LoS</w:t>
      </w:r>
      <w:proofErr w:type="spellEnd"/>
      <w:r>
        <w:rPr>
          <w:lang w:val="en-GB" w:eastAsia="zh-CN"/>
        </w:rPr>
        <w:t xml:space="preserve"> is assumed, a</w:t>
      </w:r>
      <w:r w:rsidR="004E0048">
        <w:rPr>
          <w:lang w:val="en-GB" w:eastAsia="zh-CN"/>
        </w:rPr>
        <w:t xml:space="preserve"> free space loss model is considered:</w:t>
      </w:r>
    </w:p>
    <w:p w:rsidR="00BD158B" w:rsidRPr="00BD158B" w:rsidRDefault="00BD158B" w:rsidP="004E0048">
      <w:pPr>
        <w:rPr>
          <w:rFonts w:eastAsiaTheme="minorEastAsia"/>
          <w:lang w:val="en-GB" w:eastAsia="zh-CN"/>
        </w:rPr>
      </w:pPr>
      <m:oMathPara>
        <m:oMath>
          <m:r>
            <m:rPr>
              <m:nor/>
            </m:rPr>
            <w:rPr>
              <w:rFonts w:ascii="Cambria Math" w:hAnsi="Cambria Math"/>
              <w:lang w:val="en-GB" w:eastAsia="zh-CN"/>
            </w:rPr>
            <m:t xml:space="preserve">Path loss = </m:t>
          </m:r>
          <m:sSup>
            <m:sSupPr>
              <m:ctrlPr>
                <w:rPr>
                  <w:rFonts w:ascii="Cambria Math" w:hAnsi="Cambria Math"/>
                  <w:i/>
                  <w:lang w:val="en-GB" w:eastAsia="zh-CN"/>
                </w:rPr>
              </m:ctrlPr>
            </m:sSupPr>
            <m:e>
              <m:d>
                <m:dPr>
                  <m:ctrlPr>
                    <w:rPr>
                      <w:rFonts w:ascii="Cambria Math" w:eastAsiaTheme="minorEastAsia" w:hAnsi="Cambria Math"/>
                      <w:i/>
                      <w:lang w:val="en-GB" w:eastAsia="zh-CN"/>
                    </w:rPr>
                  </m:ctrlPr>
                </m:dPr>
                <m:e>
                  <m:f>
                    <m:fPr>
                      <m:ctrlPr>
                        <w:rPr>
                          <w:rFonts w:ascii="Cambria Math" w:eastAsiaTheme="minorEastAsia" w:hAnsi="Cambria Math"/>
                          <w:i/>
                          <w:lang w:val="en-GB" w:eastAsia="zh-CN"/>
                        </w:rPr>
                      </m:ctrlPr>
                    </m:fPr>
                    <m:num>
                      <m:r>
                        <w:rPr>
                          <w:rFonts w:ascii="Cambria Math" w:eastAsiaTheme="minorEastAsia" w:hAnsi="Cambria Math"/>
                          <w:lang w:val="en-GB" w:eastAsia="zh-CN"/>
                        </w:rPr>
                        <m:t>4πdf</m:t>
                      </m:r>
                    </m:num>
                    <m:den>
                      <m:r>
                        <w:rPr>
                          <w:rFonts w:ascii="Cambria Math" w:eastAsiaTheme="minorEastAsia" w:hAnsi="Cambria Math"/>
                          <w:lang w:val="en-GB" w:eastAsia="zh-CN"/>
                        </w:rPr>
                        <m:t>c</m:t>
                      </m:r>
                    </m:den>
                  </m:f>
                </m:e>
              </m:d>
            </m:e>
            <m:sup>
              <m:r>
                <w:rPr>
                  <w:rFonts w:ascii="Cambria Math" w:hAnsi="Cambria Math"/>
                  <w:lang w:val="en-GB" w:eastAsia="zh-CN"/>
                </w:rPr>
                <m:t>2</m:t>
              </m:r>
            </m:sup>
          </m:sSup>
        </m:oMath>
      </m:oMathPara>
    </w:p>
    <w:p w:rsidR="00BD158B" w:rsidRPr="004E0048" w:rsidRDefault="00BD158B" w:rsidP="004E0048">
      <w:pPr>
        <w:rPr>
          <w:lang w:val="en-GB" w:eastAsia="zh-CN"/>
        </w:rPr>
      </w:pPr>
      <m:oMath>
        <m:r>
          <w:rPr>
            <w:rFonts w:ascii="Cambria Math" w:eastAsiaTheme="minorEastAsia" w:hAnsi="Cambria Math"/>
            <w:lang w:val="en-GB" w:eastAsia="zh-CN"/>
          </w:rPr>
          <m:t>f</m:t>
        </m:r>
      </m:oMath>
      <w:r>
        <w:rPr>
          <w:rFonts w:eastAsiaTheme="minorEastAsia"/>
          <w:lang w:val="en-GB" w:eastAsia="zh-CN"/>
        </w:rPr>
        <w:t xml:space="preserve"> being the frequency, </w:t>
      </w:r>
      <m:oMath>
        <m:r>
          <w:rPr>
            <w:rFonts w:ascii="Cambria Math" w:eastAsiaTheme="minorEastAsia" w:hAnsi="Cambria Math"/>
            <w:lang w:val="en-GB" w:eastAsia="zh-CN"/>
          </w:rPr>
          <m:t>c</m:t>
        </m:r>
      </m:oMath>
      <w:r>
        <w:rPr>
          <w:rFonts w:eastAsiaTheme="minorEastAsia"/>
          <w:lang w:val="en-GB" w:eastAsia="zh-CN"/>
        </w:rPr>
        <w:t xml:space="preserve"> the speed of light and </w:t>
      </w:r>
      <m:oMath>
        <m:r>
          <w:rPr>
            <w:rFonts w:ascii="Cambria Math" w:eastAsiaTheme="minorEastAsia" w:hAnsi="Cambria Math"/>
            <w:lang w:val="en-GB" w:eastAsia="zh-CN"/>
          </w:rPr>
          <m:t xml:space="preserve">d </m:t>
        </m:r>
      </m:oMath>
      <w:r>
        <w:rPr>
          <w:rFonts w:eastAsiaTheme="minorEastAsia"/>
          <w:lang w:val="en-GB" w:eastAsia="zh-CN"/>
        </w:rPr>
        <w:t>the distance between the satellite and the UE. For non-stationary satellites, path loss is therefore a function of the satellite elevation as seen from the UE.</w:t>
      </w:r>
    </w:p>
    <w:p w:rsidR="000A6EA6" w:rsidRDefault="000A6EA6" w:rsidP="002B4A5B">
      <w:pPr>
        <w:pStyle w:val="Titre2"/>
      </w:pPr>
    </w:p>
    <w:p w:rsidR="009F2E0B" w:rsidRDefault="00103E90" w:rsidP="002B4A5B">
      <w:pPr>
        <w:pStyle w:val="Titre2"/>
      </w:pPr>
      <w:r>
        <w:t xml:space="preserve">6.4 </w:t>
      </w:r>
      <w:r w:rsidR="009A6F0A">
        <w:t>Atmospheric effects</w:t>
      </w:r>
      <w:r w:rsidR="009F2E0B">
        <w:t xml:space="preserve"> </w:t>
      </w:r>
    </w:p>
    <w:p w:rsidR="009A6F0A" w:rsidRDefault="009F2E0B" w:rsidP="009F2E0B">
      <w:pPr>
        <w:pStyle w:val="Titre3"/>
      </w:pPr>
      <w:r>
        <w:t>Below 6GHz</w:t>
      </w:r>
    </w:p>
    <w:p w:rsidR="00874185" w:rsidRDefault="00BD158B" w:rsidP="009A337B">
      <w:pPr>
        <w:jc w:val="both"/>
        <w:rPr>
          <w:lang w:val="en-GB" w:eastAsia="zh-CN"/>
        </w:rPr>
      </w:pPr>
      <w:r>
        <w:rPr>
          <w:lang w:val="en-GB" w:eastAsia="zh-CN"/>
        </w:rPr>
        <w:t>S</w:t>
      </w:r>
      <w:r w:rsidR="00DC2AFC">
        <w:rPr>
          <w:lang w:val="en-GB" w:eastAsia="zh-CN"/>
        </w:rPr>
        <w:t xml:space="preserve">ignal attenuation occurs in </w:t>
      </w:r>
      <w:r w:rsidR="00351725">
        <w:rPr>
          <w:lang w:val="en-GB" w:eastAsia="zh-CN"/>
        </w:rPr>
        <w:t xml:space="preserve">the troposphere </w:t>
      </w:r>
      <w:r w:rsidR="00DC2AFC">
        <w:rPr>
          <w:lang w:val="en-GB" w:eastAsia="zh-CN"/>
        </w:rPr>
        <w:t>due to atmospheric gases</w:t>
      </w:r>
      <w:r w:rsidR="00727597">
        <w:rPr>
          <w:lang w:val="en-GB" w:eastAsia="zh-CN"/>
        </w:rPr>
        <w:t>,</w:t>
      </w:r>
      <w:r w:rsidR="00DC2AFC">
        <w:rPr>
          <w:lang w:val="en-GB" w:eastAsia="zh-CN"/>
        </w:rPr>
        <w:t xml:space="preserve"> </w:t>
      </w:r>
      <w:r w:rsidR="00727597">
        <w:rPr>
          <w:lang w:val="en-GB" w:eastAsia="zh-CN"/>
        </w:rPr>
        <w:t>rain and clouds</w:t>
      </w:r>
      <w:r w:rsidR="00DC2AFC">
        <w:rPr>
          <w:lang w:val="en-GB" w:eastAsia="zh-CN"/>
        </w:rPr>
        <w:t xml:space="preserve">. </w:t>
      </w:r>
      <w:r w:rsidR="00643984">
        <w:rPr>
          <w:lang w:val="en-GB" w:eastAsia="zh-CN"/>
        </w:rPr>
        <w:t>It</w:t>
      </w:r>
      <w:r w:rsidR="00DC2AFC">
        <w:rPr>
          <w:lang w:val="en-GB" w:eastAsia="zh-CN"/>
        </w:rPr>
        <w:t xml:space="preserve"> remains</w:t>
      </w:r>
      <w:r w:rsidR="00643984">
        <w:rPr>
          <w:lang w:val="en-GB" w:eastAsia="zh-CN"/>
        </w:rPr>
        <w:t xml:space="preserve"> however</w:t>
      </w:r>
      <w:r w:rsidR="00DC2AFC">
        <w:rPr>
          <w:lang w:val="en-GB" w:eastAsia="zh-CN"/>
        </w:rPr>
        <w:t xml:space="preserve"> </w:t>
      </w:r>
      <w:r w:rsidR="00643984">
        <w:rPr>
          <w:lang w:val="en-GB" w:eastAsia="zh-CN"/>
        </w:rPr>
        <w:t xml:space="preserve">negligible or </w:t>
      </w:r>
      <w:r w:rsidR="00DC2AFC">
        <w:rPr>
          <w:lang w:val="en-GB" w:eastAsia="zh-CN"/>
        </w:rPr>
        <w:t>small</w:t>
      </w:r>
      <w:r w:rsidR="00643984">
        <w:rPr>
          <w:lang w:val="en-GB" w:eastAsia="zh-CN"/>
        </w:rPr>
        <w:t xml:space="preserve"> (typically below</w:t>
      </w:r>
      <w:r w:rsidR="00184064">
        <w:rPr>
          <w:lang w:val="en-GB" w:eastAsia="zh-CN"/>
        </w:rPr>
        <w:t xml:space="preserve"> a</w:t>
      </w:r>
      <w:r w:rsidR="00643984">
        <w:rPr>
          <w:lang w:val="en-GB" w:eastAsia="zh-CN"/>
        </w:rPr>
        <w:t xml:space="preserve"> few ten</w:t>
      </w:r>
      <w:r w:rsidR="005B371F">
        <w:rPr>
          <w:lang w:val="en-GB" w:eastAsia="zh-CN"/>
        </w:rPr>
        <w:t>th</w:t>
      </w:r>
      <w:r w:rsidR="00643984">
        <w:rPr>
          <w:lang w:val="en-GB" w:eastAsia="zh-CN"/>
        </w:rPr>
        <w:t>s of dBs)</w:t>
      </w:r>
      <w:r w:rsidR="00DC2AFC">
        <w:rPr>
          <w:lang w:val="en-GB" w:eastAsia="zh-CN"/>
        </w:rPr>
        <w:t xml:space="preserve"> at frequencies below 6</w:t>
      </w:r>
      <w:r w:rsidR="00727597">
        <w:rPr>
          <w:lang w:val="en-GB" w:eastAsia="zh-CN"/>
        </w:rPr>
        <w:t>GHz</w:t>
      </w:r>
      <w:r w:rsidR="00643984">
        <w:rPr>
          <w:lang w:val="en-GB" w:eastAsia="zh-CN"/>
        </w:rPr>
        <w:t>.</w:t>
      </w:r>
      <w:r w:rsidR="000A6EA6">
        <w:rPr>
          <w:lang w:val="en-GB" w:eastAsia="zh-CN"/>
        </w:rPr>
        <w:t xml:space="preserve"> </w:t>
      </w:r>
      <w:r w:rsidR="00643984">
        <w:rPr>
          <w:lang w:val="en-GB" w:eastAsia="zh-CN"/>
        </w:rPr>
        <w:t xml:space="preserve">Scintillation occurs both in the troposphere and ionosphere, due to </w:t>
      </w:r>
      <w:proofErr w:type="spellStart"/>
      <w:r w:rsidR="00643984">
        <w:rPr>
          <w:lang w:val="en-GB" w:eastAsia="zh-CN"/>
        </w:rPr>
        <w:t>inhomogeneities</w:t>
      </w:r>
      <w:proofErr w:type="spellEnd"/>
      <w:r w:rsidR="00643984">
        <w:rPr>
          <w:lang w:val="en-GB" w:eastAsia="zh-CN"/>
        </w:rPr>
        <w:t xml:space="preserve"> in the medium. This results in rapid </w:t>
      </w:r>
      <w:r w:rsidR="00184064">
        <w:rPr>
          <w:lang w:val="en-GB" w:eastAsia="zh-CN"/>
        </w:rPr>
        <w:t>amplitude and phase fluctuations</w:t>
      </w:r>
      <w:r w:rsidR="00643984">
        <w:rPr>
          <w:lang w:val="en-GB" w:eastAsia="zh-CN"/>
        </w:rPr>
        <w:t xml:space="preserve"> </w:t>
      </w:r>
      <w:r w:rsidR="00184064">
        <w:rPr>
          <w:lang w:val="en-GB" w:eastAsia="zh-CN"/>
        </w:rPr>
        <w:t>on the transmitted signal.</w:t>
      </w:r>
      <w:r w:rsidR="00874185">
        <w:rPr>
          <w:lang w:val="en-GB" w:eastAsia="zh-CN"/>
        </w:rPr>
        <w:t xml:space="preserve"> </w:t>
      </w:r>
      <w:r w:rsidR="000A6EA6">
        <w:rPr>
          <w:lang w:val="en-GB" w:eastAsia="zh-CN"/>
        </w:rPr>
        <w:t xml:space="preserve"> </w:t>
      </w:r>
      <w:r w:rsidR="009F731F">
        <w:rPr>
          <w:lang w:val="en-GB" w:eastAsia="zh-CN"/>
        </w:rPr>
        <w:t>Tropospheric scintillation increases with frequency</w:t>
      </w:r>
      <w:r w:rsidR="009A337B">
        <w:rPr>
          <w:lang w:val="en-GB" w:eastAsia="zh-CN"/>
        </w:rPr>
        <w:t xml:space="preserve"> and remains low (typically with fluctuations below a few ten</w:t>
      </w:r>
      <w:r w:rsidR="005B371F">
        <w:rPr>
          <w:lang w:val="en-GB" w:eastAsia="zh-CN"/>
        </w:rPr>
        <w:t>th</w:t>
      </w:r>
      <w:r w:rsidR="009A337B">
        <w:rPr>
          <w:lang w:val="en-GB" w:eastAsia="zh-CN"/>
        </w:rPr>
        <w:t>s of dB 99.9% of the time) for frequencies below 6GHz.</w:t>
      </w:r>
      <w:r w:rsidR="000A6EA6">
        <w:rPr>
          <w:lang w:val="en-GB" w:eastAsia="zh-CN"/>
        </w:rPr>
        <w:t xml:space="preserve"> </w:t>
      </w:r>
      <w:proofErr w:type="spellStart"/>
      <w:r w:rsidR="009F731F">
        <w:rPr>
          <w:lang w:val="en-GB" w:eastAsia="zh-CN"/>
        </w:rPr>
        <w:t>Ionospheric</w:t>
      </w:r>
      <w:proofErr w:type="spellEnd"/>
      <w:r w:rsidR="009F731F">
        <w:rPr>
          <w:lang w:val="en-GB" w:eastAsia="zh-CN"/>
        </w:rPr>
        <w:t xml:space="preserve"> scintillation effects increase a</w:t>
      </w:r>
      <w:r w:rsidR="00874185">
        <w:rPr>
          <w:lang w:val="en-GB" w:eastAsia="zh-CN"/>
        </w:rPr>
        <w:t xml:space="preserve">t high latitudes, </w:t>
      </w:r>
      <w:r w:rsidR="009A337B">
        <w:rPr>
          <w:lang w:val="en-GB" w:eastAsia="zh-CN"/>
        </w:rPr>
        <w:t xml:space="preserve">but decreases with frequency. </w:t>
      </w:r>
      <w:r w:rsidR="00874185">
        <w:rPr>
          <w:lang w:val="en-GB" w:eastAsia="zh-CN"/>
        </w:rPr>
        <w:t>Considering medium latitude values and frequencies above 1GHz (corresponding to the satellite bands),</w:t>
      </w:r>
      <w:r w:rsidR="00BB3848">
        <w:rPr>
          <w:lang w:val="en-GB" w:eastAsia="zh-CN"/>
        </w:rPr>
        <w:t xml:space="preserve"> </w:t>
      </w:r>
      <w:r w:rsidR="009A337B">
        <w:rPr>
          <w:lang w:val="en-GB" w:eastAsia="zh-CN"/>
        </w:rPr>
        <w:t xml:space="preserve">fluctuations remain below 0.3dB for 99.9% of the time, </w:t>
      </w:r>
      <w:r w:rsidR="00BB3848">
        <w:rPr>
          <w:lang w:val="en-GB" w:eastAsia="zh-CN"/>
        </w:rPr>
        <w:t>as shown in Table 1.</w:t>
      </w:r>
      <w:r w:rsidR="00874185">
        <w:rPr>
          <w:lang w:val="en-GB" w:eastAsia="zh-CN"/>
        </w:rPr>
        <w:t xml:space="preserve"> </w:t>
      </w:r>
      <w:r w:rsidR="00765A9B" w:rsidRPr="00765A9B">
        <w:rPr>
          <w:color w:val="000000" w:themeColor="text1"/>
          <w:lang w:val="en-GB" w:eastAsia="zh-CN"/>
        </w:rPr>
        <w:t>Th</w:t>
      </w:r>
      <w:r w:rsidR="00FA3BF1">
        <w:rPr>
          <w:color w:val="000000" w:themeColor="text1"/>
          <w:lang w:val="en-GB" w:eastAsia="zh-CN"/>
        </w:rPr>
        <w:t>is</w:t>
      </w:r>
      <w:r w:rsidR="00765A9B" w:rsidRPr="00765A9B">
        <w:rPr>
          <w:color w:val="000000" w:themeColor="text1"/>
          <w:lang w:val="en-GB" w:eastAsia="zh-CN"/>
        </w:rPr>
        <w:t xml:space="preserve"> scintillation effect is therefore negligible at 2 GHz</w:t>
      </w:r>
      <w:r w:rsidR="00731B5B">
        <w:rPr>
          <w:color w:val="000000" w:themeColor="text1"/>
          <w:lang w:val="en-GB" w:eastAsia="zh-CN"/>
        </w:rPr>
        <w:t xml:space="preserve"> or above</w:t>
      </w:r>
      <w:r w:rsidR="00765A9B" w:rsidRPr="00765A9B">
        <w:rPr>
          <w:color w:val="000000" w:themeColor="text1"/>
          <w:lang w:val="en-GB" w:eastAsia="zh-CN"/>
        </w:rPr>
        <w:t>.</w:t>
      </w:r>
    </w:p>
    <w:p w:rsidR="00C6040B" w:rsidRDefault="00C6040B" w:rsidP="00C6040B">
      <w:pPr>
        <w:pStyle w:val="Lgende"/>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684558">
        <w:t xml:space="preserve">Distribution of mid-latitude fade depths due to </w:t>
      </w:r>
      <w:proofErr w:type="spellStart"/>
      <w:r w:rsidRPr="00684558">
        <w:t>ion</w:t>
      </w:r>
      <w:r w:rsidR="0092508D">
        <w:t>o</w:t>
      </w:r>
      <w:r w:rsidRPr="00684558">
        <w:t>spheric</w:t>
      </w:r>
      <w:proofErr w:type="spellEnd"/>
      <w:r w:rsidRPr="00684558">
        <w:t xml:space="preserve"> scintillation </w:t>
      </w:r>
      <w:r w:rsidR="00D913A3">
        <w:t>(source: [</w:t>
      </w:r>
      <w:r w:rsidR="009120D8">
        <w:t>4</w:t>
      </w:r>
      <w:r w:rsidR="00D913A3">
        <w:t>])</w:t>
      </w:r>
    </w:p>
    <w:tbl>
      <w:tblPr>
        <w:tblW w:w="0" w:type="auto"/>
        <w:jc w:val="center"/>
        <w:tblLayout w:type="fixed"/>
        <w:tblLook w:val="0000" w:firstRow="0" w:lastRow="0" w:firstColumn="0" w:lastColumn="0" w:noHBand="0" w:noVBand="0"/>
      </w:tblPr>
      <w:tblGrid>
        <w:gridCol w:w="2039"/>
        <w:gridCol w:w="1020"/>
        <w:gridCol w:w="1020"/>
        <w:gridCol w:w="1020"/>
        <w:gridCol w:w="1021"/>
      </w:tblGrid>
      <w:tr w:rsidR="00874185" w:rsidTr="000A6EA6">
        <w:trPr>
          <w:cantSplit/>
          <w:trHeight w:val="419"/>
          <w:jc w:val="center"/>
        </w:trPr>
        <w:tc>
          <w:tcPr>
            <w:tcW w:w="2039" w:type="dxa"/>
            <w:tcBorders>
              <w:top w:val="single" w:sz="6" w:space="0" w:color="auto"/>
              <w:left w:val="single" w:sz="6" w:space="0" w:color="auto"/>
              <w:right w:val="single" w:sz="6" w:space="0" w:color="auto"/>
            </w:tcBorders>
          </w:tcPr>
          <w:p w:rsidR="00874185" w:rsidRDefault="00874185" w:rsidP="00A25A5B">
            <w:pPr>
              <w:pStyle w:val="TableText"/>
              <w:spacing w:before="170" w:after="0"/>
              <w:jc w:val="center"/>
            </w:pPr>
            <w:r>
              <w:t>Percentage of time</w:t>
            </w:r>
          </w:p>
        </w:tc>
        <w:tc>
          <w:tcPr>
            <w:tcW w:w="4080" w:type="dxa"/>
            <w:gridSpan w:val="4"/>
            <w:tcBorders>
              <w:top w:val="single" w:sz="6" w:space="0" w:color="auto"/>
              <w:left w:val="single" w:sz="6" w:space="0" w:color="auto"/>
              <w:bottom w:val="single" w:sz="6" w:space="0" w:color="auto"/>
              <w:right w:val="single" w:sz="6" w:space="0" w:color="auto"/>
            </w:tcBorders>
          </w:tcPr>
          <w:p w:rsidR="00874185" w:rsidRDefault="00874185" w:rsidP="00A25A5B">
            <w:pPr>
              <w:pStyle w:val="TableText"/>
              <w:spacing w:before="86" w:after="86"/>
              <w:jc w:val="center"/>
              <w:rPr>
                <w:lang w:val="fr-FR"/>
              </w:rPr>
            </w:pPr>
            <w:r>
              <w:t>Frequency</w:t>
            </w:r>
            <w:r w:rsidR="000A6EA6">
              <w:rPr>
                <w:lang w:val="fr-FR"/>
              </w:rPr>
              <w:t xml:space="preserve"> </w:t>
            </w:r>
            <w:r>
              <w:rPr>
                <w:lang w:val="fr-FR"/>
              </w:rPr>
              <w:t>(GHz)</w:t>
            </w:r>
          </w:p>
        </w:tc>
      </w:tr>
      <w:tr w:rsidR="00874185" w:rsidTr="000A6EA6">
        <w:trPr>
          <w:cantSplit/>
          <w:trHeight w:val="274"/>
          <w:jc w:val="center"/>
        </w:trPr>
        <w:tc>
          <w:tcPr>
            <w:tcW w:w="2039" w:type="dxa"/>
            <w:tcBorders>
              <w:left w:val="single" w:sz="6" w:space="0" w:color="auto"/>
              <w:bottom w:val="single" w:sz="6" w:space="0" w:color="auto"/>
              <w:right w:val="single" w:sz="6" w:space="0" w:color="auto"/>
            </w:tcBorders>
          </w:tcPr>
          <w:p w:rsidR="00874185" w:rsidRDefault="00874185" w:rsidP="00A25A5B">
            <w:pPr>
              <w:pStyle w:val="TableText"/>
              <w:spacing w:before="0" w:after="86"/>
              <w:jc w:val="center"/>
              <w:rPr>
                <w:lang w:val="fr-FR"/>
              </w:rPr>
            </w:pPr>
            <w:r>
              <w:rPr>
                <w:lang w:val="fr-FR"/>
              </w:rPr>
              <w:t>(%)</w:t>
            </w:r>
          </w:p>
        </w:tc>
        <w:tc>
          <w:tcPr>
            <w:tcW w:w="1020" w:type="dxa"/>
            <w:tcBorders>
              <w:top w:val="single" w:sz="6" w:space="0" w:color="auto"/>
              <w:left w:val="single" w:sz="6" w:space="0" w:color="auto"/>
              <w:bottom w:val="single" w:sz="6" w:space="0" w:color="auto"/>
              <w:right w:val="single" w:sz="6" w:space="0" w:color="auto"/>
            </w:tcBorders>
          </w:tcPr>
          <w:p w:rsidR="00874185" w:rsidRDefault="00874185" w:rsidP="00A25A5B">
            <w:pPr>
              <w:pStyle w:val="TableText"/>
              <w:spacing w:before="97" w:after="74"/>
              <w:jc w:val="center"/>
              <w:rPr>
                <w:lang w:val="fr-FR"/>
              </w:rPr>
            </w:pPr>
            <w:r>
              <w:rPr>
                <w:lang w:val="fr-FR"/>
              </w:rPr>
              <w:t>0.1</w:t>
            </w:r>
          </w:p>
        </w:tc>
        <w:tc>
          <w:tcPr>
            <w:tcW w:w="1020" w:type="dxa"/>
            <w:tcBorders>
              <w:top w:val="single" w:sz="6" w:space="0" w:color="auto"/>
              <w:left w:val="single" w:sz="6" w:space="0" w:color="auto"/>
              <w:bottom w:val="single" w:sz="6" w:space="0" w:color="auto"/>
              <w:right w:val="single" w:sz="6" w:space="0" w:color="auto"/>
            </w:tcBorders>
          </w:tcPr>
          <w:p w:rsidR="00874185" w:rsidRDefault="00874185" w:rsidP="00A25A5B">
            <w:pPr>
              <w:pStyle w:val="TableText"/>
              <w:spacing w:before="97" w:after="74"/>
              <w:jc w:val="center"/>
              <w:rPr>
                <w:lang w:val="fr-FR"/>
              </w:rPr>
            </w:pPr>
            <w:r>
              <w:rPr>
                <w:lang w:val="fr-FR"/>
              </w:rPr>
              <w:t>0.2</w:t>
            </w:r>
          </w:p>
        </w:tc>
        <w:tc>
          <w:tcPr>
            <w:tcW w:w="1020" w:type="dxa"/>
            <w:tcBorders>
              <w:top w:val="single" w:sz="6" w:space="0" w:color="auto"/>
              <w:left w:val="single" w:sz="6" w:space="0" w:color="auto"/>
              <w:bottom w:val="single" w:sz="6" w:space="0" w:color="auto"/>
              <w:right w:val="single" w:sz="6" w:space="0" w:color="auto"/>
            </w:tcBorders>
          </w:tcPr>
          <w:p w:rsidR="00874185" w:rsidRDefault="00874185" w:rsidP="00A25A5B">
            <w:pPr>
              <w:pStyle w:val="TableText"/>
              <w:spacing w:before="97" w:after="74"/>
              <w:jc w:val="center"/>
              <w:rPr>
                <w:lang w:val="fr-FR"/>
              </w:rPr>
            </w:pPr>
            <w:r>
              <w:rPr>
                <w:lang w:val="fr-FR"/>
              </w:rPr>
              <w:t>0.5</w:t>
            </w:r>
          </w:p>
        </w:tc>
        <w:tc>
          <w:tcPr>
            <w:tcW w:w="1021" w:type="dxa"/>
            <w:tcBorders>
              <w:top w:val="single" w:sz="6" w:space="0" w:color="auto"/>
              <w:left w:val="single" w:sz="6" w:space="0" w:color="auto"/>
              <w:bottom w:val="single" w:sz="6" w:space="0" w:color="auto"/>
              <w:right w:val="single" w:sz="6" w:space="0" w:color="auto"/>
            </w:tcBorders>
          </w:tcPr>
          <w:p w:rsidR="00874185" w:rsidRDefault="00874185" w:rsidP="00A25A5B">
            <w:pPr>
              <w:pStyle w:val="TableText"/>
              <w:spacing w:before="97" w:after="74"/>
              <w:jc w:val="center"/>
              <w:rPr>
                <w:lang w:val="fr-FR"/>
              </w:rPr>
            </w:pPr>
            <w:r>
              <w:rPr>
                <w:lang w:val="fr-FR"/>
              </w:rPr>
              <w:t>1</w:t>
            </w:r>
          </w:p>
        </w:tc>
      </w:tr>
      <w:tr w:rsidR="00874185" w:rsidTr="000A6EA6">
        <w:trPr>
          <w:cantSplit/>
          <w:trHeight w:val="234"/>
          <w:jc w:val="center"/>
        </w:trPr>
        <w:tc>
          <w:tcPr>
            <w:tcW w:w="2039" w:type="dxa"/>
            <w:tcBorders>
              <w:top w:val="single" w:sz="6" w:space="0" w:color="auto"/>
              <w:left w:val="single" w:sz="6" w:space="0" w:color="auto"/>
              <w:right w:val="single" w:sz="6" w:space="0" w:color="auto"/>
            </w:tcBorders>
          </w:tcPr>
          <w:p w:rsidR="00874185" w:rsidRDefault="00874185" w:rsidP="00A25A5B">
            <w:pPr>
              <w:pStyle w:val="TableText"/>
              <w:spacing w:before="86" w:after="29"/>
              <w:jc w:val="center"/>
              <w:rPr>
                <w:lang w:val="fr-FR"/>
              </w:rPr>
            </w:pPr>
            <w:r>
              <w:rPr>
                <w:lang w:val="fr-FR"/>
              </w:rPr>
              <w:t>1.0</w:t>
            </w:r>
          </w:p>
        </w:tc>
        <w:tc>
          <w:tcPr>
            <w:tcW w:w="1020" w:type="dxa"/>
            <w:tcBorders>
              <w:top w:val="single" w:sz="6" w:space="0" w:color="auto"/>
              <w:left w:val="single" w:sz="6" w:space="0" w:color="auto"/>
              <w:right w:val="single" w:sz="6" w:space="0" w:color="auto"/>
            </w:tcBorders>
          </w:tcPr>
          <w:p w:rsidR="00874185" w:rsidRDefault="00874185" w:rsidP="00A25A5B">
            <w:pPr>
              <w:pStyle w:val="TableText"/>
              <w:spacing w:before="86" w:after="29"/>
              <w:jc w:val="center"/>
              <w:rPr>
                <w:lang w:val="fr-FR"/>
              </w:rPr>
            </w:pPr>
            <w:r>
              <w:rPr>
                <w:lang w:val="fr-FR"/>
              </w:rPr>
              <w:t> </w:t>
            </w:r>
            <w:r>
              <w:rPr>
                <w:lang w:val="fr-FR"/>
              </w:rPr>
              <w:t>5.9</w:t>
            </w:r>
          </w:p>
        </w:tc>
        <w:tc>
          <w:tcPr>
            <w:tcW w:w="1020" w:type="dxa"/>
            <w:tcBorders>
              <w:top w:val="single" w:sz="6" w:space="0" w:color="auto"/>
              <w:left w:val="single" w:sz="6" w:space="0" w:color="auto"/>
              <w:right w:val="single" w:sz="6" w:space="0" w:color="auto"/>
            </w:tcBorders>
          </w:tcPr>
          <w:p w:rsidR="00874185" w:rsidRDefault="00874185" w:rsidP="00A25A5B">
            <w:pPr>
              <w:pStyle w:val="TableText"/>
              <w:spacing w:before="86" w:after="29"/>
              <w:jc w:val="center"/>
              <w:rPr>
                <w:lang w:val="fr-FR"/>
              </w:rPr>
            </w:pPr>
            <w:r>
              <w:rPr>
                <w:lang w:val="fr-FR"/>
              </w:rPr>
              <w:t>1.5</w:t>
            </w:r>
          </w:p>
        </w:tc>
        <w:tc>
          <w:tcPr>
            <w:tcW w:w="1020" w:type="dxa"/>
            <w:tcBorders>
              <w:top w:val="single" w:sz="6" w:space="0" w:color="auto"/>
              <w:left w:val="single" w:sz="6" w:space="0" w:color="auto"/>
              <w:right w:val="single" w:sz="6" w:space="0" w:color="auto"/>
            </w:tcBorders>
          </w:tcPr>
          <w:p w:rsidR="00874185" w:rsidRDefault="00874185" w:rsidP="00A25A5B">
            <w:pPr>
              <w:pStyle w:val="TableText"/>
              <w:spacing w:before="86" w:after="29"/>
              <w:jc w:val="center"/>
              <w:rPr>
                <w:lang w:val="fr-FR"/>
              </w:rPr>
            </w:pPr>
            <w:r>
              <w:rPr>
                <w:lang w:val="fr-FR"/>
              </w:rPr>
              <w:t>0.2</w:t>
            </w:r>
          </w:p>
        </w:tc>
        <w:tc>
          <w:tcPr>
            <w:tcW w:w="1021" w:type="dxa"/>
            <w:tcBorders>
              <w:top w:val="single" w:sz="6" w:space="0" w:color="auto"/>
              <w:left w:val="single" w:sz="6" w:space="0" w:color="auto"/>
              <w:right w:val="single" w:sz="6" w:space="0" w:color="auto"/>
            </w:tcBorders>
          </w:tcPr>
          <w:p w:rsidR="00874185" w:rsidRDefault="00874185" w:rsidP="00A25A5B">
            <w:pPr>
              <w:pStyle w:val="TableText"/>
              <w:spacing w:before="86" w:after="29"/>
              <w:jc w:val="center"/>
              <w:rPr>
                <w:lang w:val="fr-FR"/>
              </w:rPr>
            </w:pPr>
            <w:r>
              <w:rPr>
                <w:lang w:val="fr-FR"/>
              </w:rPr>
              <w:t>0.1</w:t>
            </w:r>
          </w:p>
        </w:tc>
      </w:tr>
      <w:tr w:rsidR="00874185" w:rsidTr="000A6EA6">
        <w:trPr>
          <w:cantSplit/>
          <w:trHeight w:val="185"/>
          <w:jc w:val="center"/>
        </w:trPr>
        <w:tc>
          <w:tcPr>
            <w:tcW w:w="2039"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0.5</w:t>
            </w:r>
          </w:p>
        </w:tc>
        <w:tc>
          <w:tcPr>
            <w:tcW w:w="1020"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 </w:t>
            </w:r>
            <w:r>
              <w:rPr>
                <w:lang w:val="fr-FR"/>
              </w:rPr>
              <w:t>9.3</w:t>
            </w:r>
          </w:p>
        </w:tc>
        <w:tc>
          <w:tcPr>
            <w:tcW w:w="1020"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2.3</w:t>
            </w:r>
          </w:p>
        </w:tc>
        <w:tc>
          <w:tcPr>
            <w:tcW w:w="1020"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0.4</w:t>
            </w:r>
          </w:p>
        </w:tc>
        <w:tc>
          <w:tcPr>
            <w:tcW w:w="1021"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0.1</w:t>
            </w:r>
          </w:p>
        </w:tc>
      </w:tr>
      <w:tr w:rsidR="00874185" w:rsidTr="000A6EA6">
        <w:trPr>
          <w:cantSplit/>
          <w:trHeight w:val="185"/>
          <w:jc w:val="center"/>
        </w:trPr>
        <w:tc>
          <w:tcPr>
            <w:tcW w:w="2039"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0.2</w:t>
            </w:r>
          </w:p>
        </w:tc>
        <w:tc>
          <w:tcPr>
            <w:tcW w:w="1020"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16.6</w:t>
            </w:r>
          </w:p>
        </w:tc>
        <w:tc>
          <w:tcPr>
            <w:tcW w:w="1020"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4.2</w:t>
            </w:r>
          </w:p>
        </w:tc>
        <w:tc>
          <w:tcPr>
            <w:tcW w:w="1020"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0.7</w:t>
            </w:r>
          </w:p>
        </w:tc>
        <w:tc>
          <w:tcPr>
            <w:tcW w:w="1021" w:type="dxa"/>
            <w:tcBorders>
              <w:left w:val="single" w:sz="6" w:space="0" w:color="auto"/>
              <w:right w:val="single" w:sz="6" w:space="0" w:color="auto"/>
            </w:tcBorders>
          </w:tcPr>
          <w:p w:rsidR="00874185" w:rsidRDefault="00874185" w:rsidP="00A25A5B">
            <w:pPr>
              <w:pStyle w:val="TableText"/>
              <w:spacing w:before="29" w:after="29"/>
              <w:jc w:val="center"/>
              <w:rPr>
                <w:lang w:val="fr-FR"/>
              </w:rPr>
            </w:pPr>
            <w:r>
              <w:rPr>
                <w:lang w:val="fr-FR"/>
              </w:rPr>
              <w:t>0.2</w:t>
            </w:r>
          </w:p>
        </w:tc>
      </w:tr>
      <w:tr w:rsidR="00874185" w:rsidTr="000A6EA6">
        <w:trPr>
          <w:cantSplit/>
          <w:trHeight w:val="209"/>
          <w:jc w:val="center"/>
        </w:trPr>
        <w:tc>
          <w:tcPr>
            <w:tcW w:w="2039" w:type="dxa"/>
            <w:tcBorders>
              <w:left w:val="single" w:sz="6" w:space="0" w:color="auto"/>
              <w:bottom w:val="single" w:sz="6" w:space="0" w:color="auto"/>
              <w:right w:val="single" w:sz="6" w:space="0" w:color="auto"/>
            </w:tcBorders>
          </w:tcPr>
          <w:p w:rsidR="00874185" w:rsidRDefault="00874185" w:rsidP="00A25A5B">
            <w:pPr>
              <w:pStyle w:val="TableText"/>
              <w:spacing w:before="29" w:after="57"/>
              <w:jc w:val="center"/>
              <w:rPr>
                <w:lang w:val="fr-FR"/>
              </w:rPr>
            </w:pPr>
            <w:r>
              <w:rPr>
                <w:lang w:val="fr-FR"/>
              </w:rPr>
              <w:t>0.1</w:t>
            </w:r>
          </w:p>
        </w:tc>
        <w:tc>
          <w:tcPr>
            <w:tcW w:w="1020" w:type="dxa"/>
            <w:tcBorders>
              <w:left w:val="single" w:sz="6" w:space="0" w:color="auto"/>
              <w:bottom w:val="single" w:sz="6" w:space="0" w:color="auto"/>
              <w:right w:val="single" w:sz="6" w:space="0" w:color="auto"/>
            </w:tcBorders>
          </w:tcPr>
          <w:p w:rsidR="00874185" w:rsidRDefault="00874185" w:rsidP="00A25A5B">
            <w:pPr>
              <w:pStyle w:val="TableText"/>
              <w:spacing w:before="29" w:after="57"/>
              <w:jc w:val="center"/>
              <w:rPr>
                <w:lang w:val="fr-FR"/>
              </w:rPr>
            </w:pPr>
            <w:r>
              <w:rPr>
                <w:lang w:val="fr-FR"/>
              </w:rPr>
              <w:t>25.0</w:t>
            </w:r>
          </w:p>
        </w:tc>
        <w:tc>
          <w:tcPr>
            <w:tcW w:w="1020" w:type="dxa"/>
            <w:tcBorders>
              <w:left w:val="single" w:sz="6" w:space="0" w:color="auto"/>
              <w:bottom w:val="single" w:sz="6" w:space="0" w:color="auto"/>
              <w:right w:val="single" w:sz="6" w:space="0" w:color="auto"/>
            </w:tcBorders>
          </w:tcPr>
          <w:p w:rsidR="00874185" w:rsidRDefault="00874185" w:rsidP="00A25A5B">
            <w:pPr>
              <w:pStyle w:val="TableText"/>
              <w:spacing w:before="29" w:after="57"/>
              <w:jc w:val="center"/>
              <w:rPr>
                <w:lang w:val="fr-FR"/>
              </w:rPr>
            </w:pPr>
            <w:r>
              <w:rPr>
                <w:lang w:val="fr-FR"/>
              </w:rPr>
              <w:t>6.2</w:t>
            </w:r>
          </w:p>
        </w:tc>
        <w:tc>
          <w:tcPr>
            <w:tcW w:w="1020" w:type="dxa"/>
            <w:tcBorders>
              <w:left w:val="single" w:sz="6" w:space="0" w:color="auto"/>
              <w:bottom w:val="single" w:sz="6" w:space="0" w:color="auto"/>
              <w:right w:val="single" w:sz="6" w:space="0" w:color="auto"/>
            </w:tcBorders>
          </w:tcPr>
          <w:p w:rsidR="00874185" w:rsidRDefault="00874185" w:rsidP="00A25A5B">
            <w:pPr>
              <w:pStyle w:val="TableText"/>
              <w:spacing w:before="29" w:after="57"/>
              <w:jc w:val="center"/>
              <w:rPr>
                <w:lang w:val="fr-FR"/>
              </w:rPr>
            </w:pPr>
            <w:r>
              <w:rPr>
                <w:lang w:val="fr-FR"/>
              </w:rPr>
              <w:t>1.0</w:t>
            </w:r>
          </w:p>
        </w:tc>
        <w:tc>
          <w:tcPr>
            <w:tcW w:w="1021" w:type="dxa"/>
            <w:tcBorders>
              <w:left w:val="single" w:sz="6" w:space="0" w:color="auto"/>
              <w:bottom w:val="single" w:sz="6" w:space="0" w:color="auto"/>
              <w:right w:val="single" w:sz="6" w:space="0" w:color="auto"/>
            </w:tcBorders>
          </w:tcPr>
          <w:p w:rsidR="00874185" w:rsidRDefault="00874185" w:rsidP="00A25A5B">
            <w:pPr>
              <w:pStyle w:val="TableText"/>
              <w:spacing w:before="29" w:after="57"/>
              <w:jc w:val="center"/>
              <w:rPr>
                <w:lang w:val="fr-FR"/>
              </w:rPr>
            </w:pPr>
            <w:r>
              <w:rPr>
                <w:lang w:val="fr-FR"/>
              </w:rPr>
              <w:t>0.3</w:t>
            </w:r>
          </w:p>
        </w:tc>
      </w:tr>
    </w:tbl>
    <w:p w:rsidR="00BD158B" w:rsidRDefault="00874185" w:rsidP="00BD158B">
      <w:pPr>
        <w:pStyle w:val="Titre2"/>
        <w:numPr>
          <w:ilvl w:val="0"/>
          <w:numId w:val="0"/>
        </w:numPr>
        <w:ind w:left="576"/>
      </w:pPr>
      <w:r>
        <w:t xml:space="preserve"> </w:t>
      </w:r>
    </w:p>
    <w:p w:rsidR="009A6F0A" w:rsidRPr="009A6F0A" w:rsidRDefault="009F2E0B" w:rsidP="009F2E0B">
      <w:pPr>
        <w:pStyle w:val="Titre3"/>
      </w:pPr>
      <w:proofErr w:type="spellStart"/>
      <w:r>
        <w:t>Ka</w:t>
      </w:r>
      <w:proofErr w:type="spellEnd"/>
      <w:r>
        <w:t xml:space="preserve"> bands</w:t>
      </w:r>
    </w:p>
    <w:p w:rsidR="000914E1" w:rsidRDefault="00F5246B" w:rsidP="00DC2AFC">
      <w:pPr>
        <w:jc w:val="both"/>
        <w:rPr>
          <w:lang w:val="en-GB" w:eastAsia="zh-CN"/>
        </w:rPr>
      </w:pPr>
      <w:r>
        <w:rPr>
          <w:lang w:val="en-GB" w:eastAsia="zh-CN"/>
        </w:rPr>
        <w:t xml:space="preserve">At </w:t>
      </w:r>
      <w:proofErr w:type="spellStart"/>
      <w:r>
        <w:rPr>
          <w:lang w:val="en-GB" w:eastAsia="zh-CN"/>
        </w:rPr>
        <w:t>Ka</w:t>
      </w:r>
      <w:proofErr w:type="spellEnd"/>
      <w:r>
        <w:rPr>
          <w:lang w:val="en-GB" w:eastAsia="zh-CN"/>
        </w:rPr>
        <w:t xml:space="preserve"> bands, tropospheric attenuation </w:t>
      </w:r>
      <w:r w:rsidR="008465E6">
        <w:rPr>
          <w:lang w:val="en-GB" w:eastAsia="zh-CN"/>
        </w:rPr>
        <w:t>due to atmospheric gases, rain</w:t>
      </w:r>
      <w:r>
        <w:rPr>
          <w:lang w:val="en-GB" w:eastAsia="zh-CN"/>
        </w:rPr>
        <w:t xml:space="preserve"> and clouds </w:t>
      </w:r>
      <w:r w:rsidR="00D676C7">
        <w:rPr>
          <w:lang w:val="en-GB" w:eastAsia="zh-CN"/>
        </w:rPr>
        <w:t>cannot longer be neglected. Tropos</w:t>
      </w:r>
      <w:r w:rsidR="00DB4CFC">
        <w:rPr>
          <w:lang w:val="en-GB" w:eastAsia="zh-CN"/>
        </w:rPr>
        <w:t>p</w:t>
      </w:r>
      <w:r w:rsidR="00D676C7">
        <w:rPr>
          <w:lang w:val="en-GB" w:eastAsia="zh-CN"/>
        </w:rPr>
        <w:t>heric scintillation has also to be taken into account</w:t>
      </w:r>
      <w:r w:rsidR="000914E1">
        <w:rPr>
          <w:lang w:val="en-GB" w:eastAsia="zh-CN"/>
        </w:rPr>
        <w:t xml:space="preserve"> while </w:t>
      </w:r>
      <w:proofErr w:type="spellStart"/>
      <w:r w:rsidR="000914E1">
        <w:rPr>
          <w:lang w:val="en-GB" w:eastAsia="zh-CN"/>
        </w:rPr>
        <w:t>ionospheric</w:t>
      </w:r>
      <w:proofErr w:type="spellEnd"/>
      <w:r w:rsidR="000914E1">
        <w:rPr>
          <w:lang w:val="en-GB" w:eastAsia="zh-CN"/>
        </w:rPr>
        <w:t xml:space="preserve"> scintillation is negligible.</w:t>
      </w:r>
    </w:p>
    <w:p w:rsidR="009A6F0A" w:rsidRDefault="000914E1" w:rsidP="00DC2AFC">
      <w:pPr>
        <w:jc w:val="both"/>
        <w:rPr>
          <w:lang w:val="en-GB" w:eastAsia="zh-CN"/>
        </w:rPr>
      </w:pPr>
      <w:r>
        <w:rPr>
          <w:lang w:val="en-GB" w:eastAsia="zh-CN"/>
        </w:rPr>
        <w:t xml:space="preserve"> </w:t>
      </w:r>
      <w:r w:rsidR="00D913A3">
        <w:rPr>
          <w:lang w:val="en-GB" w:eastAsia="zh-CN"/>
        </w:rPr>
        <w:t>Attenuation due to atmospheric gases is mainly due to oxygen and wat</w:t>
      </w:r>
      <w:r w:rsidR="001D6B14">
        <w:rPr>
          <w:lang w:val="en-GB" w:eastAsia="zh-CN"/>
        </w:rPr>
        <w:t>er</w:t>
      </w:r>
      <w:r w:rsidR="00D913A3">
        <w:rPr>
          <w:lang w:val="en-GB" w:eastAsia="zh-CN"/>
        </w:rPr>
        <w:t xml:space="preserve"> vapour absorption. The exact attenuation depends on the frequency, UE altitude and water vapour density.</w:t>
      </w:r>
      <w:r w:rsidR="001D6B14">
        <w:rPr>
          <w:lang w:val="en-GB" w:eastAsia="zh-CN"/>
        </w:rPr>
        <w:t xml:space="preserve"> It should be noted that oxygen absorption remains relatively constant over time while water vapour absorption</w:t>
      </w:r>
      <w:r w:rsidR="00BB7917">
        <w:rPr>
          <w:lang w:val="en-GB" w:eastAsia="zh-CN"/>
        </w:rPr>
        <w:t xml:space="preserve"> varies with time due to changes in water vapour density [</w:t>
      </w:r>
      <w:r w:rsidR="009120D8">
        <w:rPr>
          <w:lang w:val="en-GB" w:eastAsia="zh-CN"/>
        </w:rPr>
        <w:t>4</w:t>
      </w:r>
      <w:r w:rsidR="00BB7917">
        <w:rPr>
          <w:lang w:val="en-GB" w:eastAsia="zh-CN"/>
        </w:rPr>
        <w:t>].</w:t>
      </w:r>
      <w:r w:rsidR="00D913A3">
        <w:rPr>
          <w:lang w:val="en-GB" w:eastAsia="zh-CN"/>
        </w:rPr>
        <w:t xml:space="preserve"> </w:t>
      </w:r>
      <w:r w:rsidR="00D676C7">
        <w:rPr>
          <w:lang w:val="en-GB" w:eastAsia="zh-CN"/>
        </w:rPr>
        <w:t>An accurate estimation of atmospheric gases attenuation can be found in [</w:t>
      </w:r>
      <w:r w:rsidR="009120D8">
        <w:rPr>
          <w:lang w:val="en-GB" w:eastAsia="zh-CN"/>
        </w:rPr>
        <w:t>5</w:t>
      </w:r>
      <w:r w:rsidR="00D676C7">
        <w:rPr>
          <w:lang w:val="en-GB" w:eastAsia="zh-CN"/>
        </w:rPr>
        <w:t>].</w:t>
      </w:r>
    </w:p>
    <w:p w:rsidR="001D6B14" w:rsidRDefault="001D6B14" w:rsidP="00DC2AFC">
      <w:pPr>
        <w:jc w:val="both"/>
        <w:rPr>
          <w:lang w:val="en-GB" w:eastAsia="zh-CN"/>
        </w:rPr>
      </w:pPr>
      <w:r>
        <w:rPr>
          <w:lang w:val="en-GB" w:eastAsia="zh-CN"/>
        </w:rPr>
        <w:t xml:space="preserve">Rain and cloud attenuation </w:t>
      </w:r>
      <w:r w:rsidR="00BB7917">
        <w:rPr>
          <w:lang w:val="en-GB" w:eastAsia="zh-CN"/>
        </w:rPr>
        <w:t>is also a function of time, and cannot be accurately predicted, even for short-term predictions. Long term statistics are however available, allowing to assess the probability of exceeding a given attenuation</w:t>
      </w:r>
      <w:r w:rsidR="005B2A29">
        <w:rPr>
          <w:lang w:val="en-GB" w:eastAsia="zh-CN"/>
        </w:rPr>
        <w:t xml:space="preserve"> on a yearly basis for instance</w:t>
      </w:r>
      <w:r w:rsidR="00BB7917">
        <w:rPr>
          <w:lang w:val="en-GB" w:eastAsia="zh-CN"/>
        </w:rPr>
        <w:t>.</w:t>
      </w:r>
      <w:r w:rsidR="005B2A29">
        <w:rPr>
          <w:lang w:val="en-GB" w:eastAsia="zh-CN"/>
        </w:rPr>
        <w:t xml:space="preserve"> A method of calculation is given in [</w:t>
      </w:r>
      <w:r w:rsidR="009120D8">
        <w:rPr>
          <w:lang w:val="en-GB" w:eastAsia="zh-CN"/>
        </w:rPr>
        <w:t>4</w:t>
      </w:r>
      <w:r w:rsidR="005B2A29">
        <w:rPr>
          <w:lang w:val="en-GB" w:eastAsia="zh-CN"/>
        </w:rPr>
        <w:t>], which takes as input the UE position</w:t>
      </w:r>
      <w:r w:rsidR="000A6EA6">
        <w:rPr>
          <w:lang w:val="en-GB" w:eastAsia="zh-CN"/>
        </w:rPr>
        <w:t xml:space="preserve"> (from which a rainfall rate is derived for 0.01% of an average year)</w:t>
      </w:r>
      <w:r w:rsidR="005B2A29">
        <w:rPr>
          <w:lang w:val="en-GB" w:eastAsia="zh-CN"/>
        </w:rPr>
        <w:t xml:space="preserve">, the frequency and the elevation. </w:t>
      </w:r>
    </w:p>
    <w:p w:rsidR="00365925" w:rsidRDefault="005B2A29" w:rsidP="00DC2AFC">
      <w:pPr>
        <w:jc w:val="both"/>
        <w:rPr>
          <w:lang w:val="en-GB" w:eastAsia="zh-CN"/>
        </w:rPr>
      </w:pPr>
      <w:r>
        <w:rPr>
          <w:lang w:val="en-GB" w:eastAsia="zh-CN"/>
        </w:rPr>
        <w:t xml:space="preserve">Accurate estimation of tropospheric attenuation can neither be obtained. </w:t>
      </w:r>
      <w:r w:rsidR="003B538B">
        <w:rPr>
          <w:lang w:val="en-GB" w:eastAsia="zh-CN"/>
        </w:rPr>
        <w:t>Probability of exceeding a given threshold is also derived from l</w:t>
      </w:r>
      <w:r>
        <w:rPr>
          <w:lang w:val="en-GB" w:eastAsia="zh-CN"/>
        </w:rPr>
        <w:t>ong term statistics</w:t>
      </w:r>
      <w:r w:rsidR="003B538B">
        <w:rPr>
          <w:lang w:val="en-GB" w:eastAsia="zh-CN"/>
        </w:rPr>
        <w:t xml:space="preserve">. They are function of UE position (from which </w:t>
      </w:r>
      <w:r w:rsidR="000A6EA6">
        <w:rPr>
          <w:lang w:val="en-GB" w:eastAsia="zh-CN"/>
        </w:rPr>
        <w:t>average</w:t>
      </w:r>
      <w:r w:rsidR="003B538B">
        <w:rPr>
          <w:lang w:val="en-GB" w:eastAsia="zh-CN"/>
        </w:rPr>
        <w:t xml:space="preserve"> </w:t>
      </w:r>
      <w:r w:rsidR="000A6EA6">
        <w:rPr>
          <w:lang w:val="en-GB" w:eastAsia="zh-CN"/>
        </w:rPr>
        <w:t xml:space="preserve">surface ambient </w:t>
      </w:r>
      <w:r w:rsidR="003B538B">
        <w:rPr>
          <w:lang w:val="en-GB" w:eastAsia="zh-CN"/>
        </w:rPr>
        <w:t xml:space="preserve">temperature and </w:t>
      </w:r>
      <w:r w:rsidR="000A6EA6">
        <w:rPr>
          <w:lang w:val="en-GB" w:eastAsia="zh-CN"/>
        </w:rPr>
        <w:t>average surface</w:t>
      </w:r>
      <w:r w:rsidR="003B538B">
        <w:rPr>
          <w:lang w:val="en-GB" w:eastAsia="zh-CN"/>
        </w:rPr>
        <w:t xml:space="preserve"> relative humidity is derived on a monthly basis for instance), frequency, elevation, UE physical antenna diameter and</w:t>
      </w:r>
      <w:r w:rsidR="000A6EA6">
        <w:rPr>
          <w:lang w:val="en-GB" w:eastAsia="zh-CN"/>
        </w:rPr>
        <w:t xml:space="preserve"> UE</w:t>
      </w:r>
      <w:r w:rsidR="003B538B">
        <w:rPr>
          <w:lang w:val="en-GB" w:eastAsia="zh-CN"/>
        </w:rPr>
        <w:t xml:space="preserve"> antenna efficiency [</w:t>
      </w:r>
      <w:r w:rsidR="009120D8">
        <w:rPr>
          <w:lang w:val="en-GB" w:eastAsia="zh-CN"/>
        </w:rPr>
        <w:t>4</w:t>
      </w:r>
      <w:r w:rsidR="003B538B">
        <w:rPr>
          <w:lang w:val="en-GB" w:eastAsia="zh-CN"/>
        </w:rPr>
        <w:t>].</w:t>
      </w:r>
      <w:r>
        <w:rPr>
          <w:lang w:val="en-GB" w:eastAsia="zh-CN"/>
        </w:rPr>
        <w:t xml:space="preserve"> </w:t>
      </w:r>
    </w:p>
    <w:p w:rsidR="005B2A29" w:rsidRPr="00C06491" w:rsidRDefault="005B2A29" w:rsidP="00DC2AFC">
      <w:pPr>
        <w:jc w:val="both"/>
        <w:rPr>
          <w:lang w:val="en-GB" w:eastAsia="zh-CN"/>
        </w:rPr>
      </w:pPr>
    </w:p>
    <w:p w:rsidR="00CC526C" w:rsidRDefault="00103E90" w:rsidP="00CC526C">
      <w:pPr>
        <w:pStyle w:val="Titre2"/>
      </w:pPr>
      <w:r>
        <w:t xml:space="preserve">6.5 </w:t>
      </w:r>
      <w:r w:rsidR="00CC526C" w:rsidRPr="004E0048">
        <w:t>Land mobile satellite channel</w:t>
      </w:r>
    </w:p>
    <w:p w:rsidR="009A6F0A" w:rsidRDefault="000C2225" w:rsidP="009A6F0A">
      <w:pPr>
        <w:pStyle w:val="Titre3"/>
      </w:pPr>
      <w:r>
        <w:t>B</w:t>
      </w:r>
      <w:r w:rsidR="000914E1">
        <w:t>elow 6GHz</w:t>
      </w:r>
    </w:p>
    <w:p w:rsidR="00A06015" w:rsidRDefault="001F3F75" w:rsidP="00A06015">
      <w:pPr>
        <w:jc w:val="both"/>
        <w:rPr>
          <w:lang w:val="en-GB" w:eastAsia="zh-CN"/>
        </w:rPr>
      </w:pPr>
      <w:r>
        <w:rPr>
          <w:lang w:val="en-GB" w:eastAsia="zh-CN"/>
        </w:rPr>
        <w:t>A narrowband channel model can be assumed for bandwidths up to approximately 5MHz</w:t>
      </w:r>
      <w:r w:rsidR="00E047C6">
        <w:rPr>
          <w:lang w:val="en-GB" w:eastAsia="zh-CN"/>
        </w:rPr>
        <w:t xml:space="preserve"> (non-frequency selective channel)</w:t>
      </w:r>
      <w:r>
        <w:rPr>
          <w:lang w:val="en-GB" w:eastAsia="zh-CN"/>
        </w:rPr>
        <w:t xml:space="preserve">. </w:t>
      </w:r>
      <w:r w:rsidR="00A06015">
        <w:rPr>
          <w:lang w:val="en-GB" w:eastAsia="zh-CN"/>
        </w:rPr>
        <w:t xml:space="preserve">For </w:t>
      </w:r>
      <w:proofErr w:type="spellStart"/>
      <w:r w:rsidR="00A06015">
        <w:rPr>
          <w:lang w:val="en-GB" w:eastAsia="zh-CN"/>
        </w:rPr>
        <w:t>LoS</w:t>
      </w:r>
      <w:proofErr w:type="spellEnd"/>
      <w:r w:rsidR="00A06015">
        <w:rPr>
          <w:lang w:val="en-GB" w:eastAsia="zh-CN"/>
        </w:rPr>
        <w:t xml:space="preserve"> conditions, the received signal amplitude is characterized by a </w:t>
      </w:r>
      <w:proofErr w:type="spellStart"/>
      <w:r w:rsidR="00A06015">
        <w:rPr>
          <w:lang w:val="en-GB" w:eastAsia="zh-CN"/>
        </w:rPr>
        <w:t>Rician</w:t>
      </w:r>
      <w:proofErr w:type="spellEnd"/>
      <w:r w:rsidR="00A06015">
        <w:rPr>
          <w:lang w:val="en-GB" w:eastAsia="zh-CN"/>
        </w:rPr>
        <w:t xml:space="preserve"> distribution with probability density function [6]:</w:t>
      </w:r>
    </w:p>
    <w:p w:rsidR="00A06015" w:rsidRDefault="00A06015" w:rsidP="00A06015">
      <w:pPr>
        <w:jc w:val="both"/>
        <w:rPr>
          <w:lang w:val="en-GB" w:eastAsia="zh-CN"/>
        </w:rPr>
      </w:pPr>
      <m:oMathPara>
        <m:oMath>
          <m:r>
            <w:rPr>
              <w:rFonts w:ascii="Cambria Math" w:hAnsi="Cambria Math"/>
              <w:lang w:val="en-GB" w:eastAsia="zh-CN"/>
            </w:rPr>
            <m:t>f</m:t>
          </m:r>
          <m:d>
            <m:dPr>
              <m:ctrlPr>
                <w:rPr>
                  <w:rFonts w:ascii="Cambria Math" w:hAnsi="Cambria Math"/>
                  <w:i/>
                  <w:lang w:val="en-GB" w:eastAsia="zh-CN"/>
                </w:rPr>
              </m:ctrlPr>
            </m:dPr>
            <m:e>
              <m:r>
                <w:rPr>
                  <w:rFonts w:ascii="Cambria Math" w:hAnsi="Cambria Math"/>
                  <w:lang w:val="en-GB" w:eastAsia="zh-CN"/>
                </w:rPr>
                <m:t>x</m:t>
              </m:r>
            </m:e>
          </m:d>
          <m:r>
            <w:rPr>
              <w:rFonts w:ascii="Cambria Math" w:hAnsi="Cambria Math"/>
              <w:lang w:val="en-GB" w:eastAsia="zh-CN"/>
            </w:rPr>
            <m:t xml:space="preserve">= </m:t>
          </m:r>
          <m:f>
            <m:fPr>
              <m:ctrlPr>
                <w:rPr>
                  <w:rFonts w:ascii="Cambria Math" w:hAnsi="Cambria Math"/>
                  <w:i/>
                  <w:lang w:val="en-GB" w:eastAsia="zh-CN"/>
                </w:rPr>
              </m:ctrlPr>
            </m:fPr>
            <m:num>
              <m:r>
                <w:rPr>
                  <w:rFonts w:ascii="Cambria Math" w:hAnsi="Cambria Math"/>
                  <w:lang w:val="en-GB" w:eastAsia="zh-CN"/>
                </w:rPr>
                <m:t>x</m:t>
              </m:r>
            </m:num>
            <m:den>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sSup>
            <m:sSupPr>
              <m:ctrlPr>
                <w:rPr>
                  <w:rFonts w:ascii="Cambria Math" w:hAnsi="Cambria Math"/>
                  <w:i/>
                  <w:lang w:val="en-GB" w:eastAsia="zh-CN"/>
                </w:rPr>
              </m:ctrlPr>
            </m:sSupPr>
            <m:e>
              <m:r>
                <w:rPr>
                  <w:rFonts w:ascii="Cambria Math" w:hAnsi="Cambria Math"/>
                  <w:lang w:val="en-GB" w:eastAsia="zh-CN"/>
                </w:rPr>
                <m:t>e</m:t>
              </m:r>
            </m:e>
            <m:sup>
              <m:f>
                <m:fPr>
                  <m:ctrlPr>
                    <w:rPr>
                      <w:rFonts w:ascii="Cambria Math" w:hAnsi="Cambria Math"/>
                      <w:i/>
                      <w:lang w:val="en-GB" w:eastAsia="zh-CN"/>
                    </w:rPr>
                  </m:ctrlPr>
                </m:fPr>
                <m:num>
                  <m:r>
                    <w:rPr>
                      <w:rFonts w:ascii="Cambria Math" w:hAnsi="Cambria Math"/>
                      <w:lang w:val="en-GB" w:eastAsia="zh-CN"/>
                    </w:rPr>
                    <m:t>-</m:t>
                  </m:r>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x</m:t>
                          </m:r>
                        </m:e>
                        <m:sup>
                          <m:r>
                            <w:rPr>
                              <w:rFonts w:ascii="Cambria Math" w:hAnsi="Cambria Math"/>
                              <w:lang w:val="en-GB" w:eastAsia="zh-CN"/>
                            </w:rPr>
                            <m:t>2</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μ</m:t>
                          </m:r>
                        </m:e>
                        <m:sup>
                          <m:r>
                            <w:rPr>
                              <w:rFonts w:ascii="Cambria Math" w:hAnsi="Cambria Math"/>
                              <w:lang w:val="en-GB" w:eastAsia="zh-CN"/>
                            </w:rPr>
                            <m:t>2</m:t>
                          </m:r>
                        </m:sup>
                      </m:sSup>
                    </m:e>
                  </m:d>
                </m:num>
                <m:den>
                  <m:r>
                    <w:rPr>
                      <w:rFonts w:ascii="Cambria Math" w:hAnsi="Cambria Math"/>
                      <w:lang w:val="en-GB" w:eastAsia="zh-CN"/>
                    </w:rPr>
                    <m:t>2</m:t>
                  </m:r>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sup>
          </m:sSup>
          <m:sSub>
            <m:sSubPr>
              <m:ctrlPr>
                <w:rPr>
                  <w:rFonts w:ascii="Cambria Math" w:hAnsi="Cambria Math"/>
                  <w:i/>
                  <w:lang w:val="en-GB" w:eastAsia="zh-CN"/>
                </w:rPr>
              </m:ctrlPr>
            </m:sSubPr>
            <m:e>
              <m:r>
                <w:rPr>
                  <w:rFonts w:ascii="Cambria Math" w:hAnsi="Cambria Math"/>
                  <w:lang w:val="en-GB" w:eastAsia="zh-CN"/>
                </w:rPr>
                <m:t>I</m:t>
              </m:r>
            </m:e>
            <m:sub>
              <m:r>
                <w:rPr>
                  <w:rFonts w:ascii="Cambria Math" w:hAnsi="Cambria Math"/>
                  <w:lang w:val="en-GB" w:eastAsia="zh-CN"/>
                </w:rPr>
                <m:t>0</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xμ</m:t>
              </m:r>
            </m:num>
            <m:den>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r>
            <w:rPr>
              <w:rFonts w:ascii="Cambria Math" w:hAnsi="Cambria Math"/>
              <w:lang w:val="en-GB" w:eastAsia="zh-CN"/>
            </w:rPr>
            <m:t>)</m:t>
          </m:r>
        </m:oMath>
      </m:oMathPara>
    </w:p>
    <w:p w:rsidR="009604A0" w:rsidRPr="00A06015" w:rsidRDefault="00A06015" w:rsidP="00A06015">
      <w:pPr>
        <w:jc w:val="both"/>
        <w:rPr>
          <w:lang w:eastAsia="zh-CN"/>
        </w:rPr>
      </w:pPr>
      <w:r>
        <w:rPr>
          <w:lang w:val="en-GB" w:eastAsia="zh-CN"/>
        </w:rPr>
        <w:lastRenderedPageBreak/>
        <w:t>where</w:t>
      </w:r>
      <m:oMath>
        <m:r>
          <w:rPr>
            <w:rFonts w:ascii="Cambria Math" w:hAnsi="Cambria Math"/>
            <w:lang w:val="en-GB" w:eastAsia="zh-CN"/>
          </w:rPr>
          <m:t xml:space="preserve"> x</m:t>
        </m:r>
      </m:oMath>
      <w:r>
        <w:rPr>
          <w:rFonts w:eastAsiaTheme="minorEastAsia"/>
          <w:lang w:val="en-GB" w:eastAsia="zh-CN"/>
        </w:rPr>
        <w:t xml:space="preserve"> represents the amplitude of the received signal, </w:t>
      </w:r>
      <w:r>
        <w:rPr>
          <w:rFonts w:cstheme="minorHAnsi"/>
          <w:lang w:val="en-GB" w:eastAsia="zh-CN"/>
        </w:rPr>
        <w:t>µ</w:t>
      </w:r>
      <w:r>
        <w:rPr>
          <w:lang w:val="en-GB" w:eastAsia="zh-CN"/>
        </w:rPr>
        <w:t xml:space="preserve"> and </w:t>
      </w:r>
      <w:r>
        <w:rPr>
          <w:rFonts w:cstheme="minorHAnsi"/>
          <w:lang w:val="en-GB" w:eastAsia="zh-CN"/>
        </w:rPr>
        <w:t>σ</w:t>
      </w:r>
      <w:r>
        <w:rPr>
          <w:lang w:val="en-GB" w:eastAsia="zh-CN"/>
        </w:rPr>
        <w:t xml:space="preserve"> are the power of the </w:t>
      </w:r>
      <w:proofErr w:type="spellStart"/>
      <w:r>
        <w:rPr>
          <w:lang w:val="en-GB" w:eastAsia="zh-CN"/>
        </w:rPr>
        <w:t>LoS</w:t>
      </w:r>
      <w:proofErr w:type="spellEnd"/>
      <w:r>
        <w:rPr>
          <w:lang w:val="en-GB" w:eastAsia="zh-CN"/>
        </w:rPr>
        <w:t xml:space="preserve"> component and multipath components, respectively, and </w:t>
      </w:r>
      <m:oMath>
        <m:sSub>
          <m:sSubPr>
            <m:ctrlPr>
              <w:rPr>
                <w:rFonts w:ascii="Cambria Math" w:hAnsi="Cambria Math"/>
                <w:i/>
                <w:lang w:val="en-GB" w:eastAsia="zh-CN"/>
              </w:rPr>
            </m:ctrlPr>
          </m:sSubPr>
          <m:e>
            <m:r>
              <w:rPr>
                <w:rFonts w:ascii="Cambria Math" w:hAnsi="Cambria Math"/>
                <w:lang w:val="en-GB" w:eastAsia="zh-CN"/>
              </w:rPr>
              <m:t>I</m:t>
            </m:r>
          </m:e>
          <m:sub>
            <m:r>
              <w:rPr>
                <w:rFonts w:ascii="Cambria Math" w:hAnsi="Cambria Math"/>
                <w:lang w:val="en-GB" w:eastAsia="zh-CN"/>
              </w:rPr>
              <m:t>0</m:t>
            </m:r>
          </m:sub>
        </m:sSub>
      </m:oMath>
      <w:r>
        <w:rPr>
          <w:lang w:val="en-GB" w:eastAsia="zh-CN"/>
        </w:rPr>
        <w:t xml:space="preserve">is a modified Bessel function of the first kind with order 0. The </w:t>
      </w:r>
      <w:proofErr w:type="spellStart"/>
      <w:r>
        <w:rPr>
          <w:lang w:val="en-GB" w:eastAsia="zh-CN"/>
        </w:rPr>
        <w:t>Rician</w:t>
      </w:r>
      <w:proofErr w:type="spellEnd"/>
      <w:r>
        <w:rPr>
          <w:lang w:val="en-GB" w:eastAsia="zh-CN"/>
        </w:rPr>
        <w:t xml:space="preserve"> factor is defined as the ratio </w:t>
      </w:r>
      <m:oMath>
        <m:f>
          <m:fPr>
            <m:ctrlPr>
              <w:rPr>
                <w:rFonts w:ascii="Cambria Math" w:hAnsi="Cambria Math"/>
                <w:i/>
                <w:lang w:val="en-GB" w:eastAsia="zh-CN"/>
              </w:rPr>
            </m:ctrlPr>
          </m:fPr>
          <m:num>
            <m:r>
              <w:rPr>
                <w:rFonts w:ascii="Cambria Math" w:hAnsi="Cambria Math"/>
                <w:lang w:val="en-GB" w:eastAsia="zh-CN"/>
              </w:rPr>
              <m:t>μ²</m:t>
            </m:r>
          </m:num>
          <m:den>
            <m:r>
              <w:rPr>
                <w:rFonts w:ascii="Cambria Math" w:hAnsi="Cambria Math"/>
                <w:lang w:val="en-GB" w:eastAsia="zh-CN"/>
              </w:rPr>
              <m:t>2σ²</m:t>
            </m:r>
          </m:den>
        </m:f>
      </m:oMath>
      <w:r>
        <w:rPr>
          <w:rFonts w:eastAsiaTheme="minorEastAsia"/>
          <w:lang w:val="en-GB" w:eastAsia="zh-CN"/>
        </w:rPr>
        <w:t xml:space="preserve">, and is generally high </w:t>
      </w:r>
      <w:r>
        <w:rPr>
          <w:lang w:val="en-GB" w:eastAsia="zh-CN"/>
        </w:rPr>
        <w:t xml:space="preserve"> for the land mobile satellite channel.  </w:t>
      </w:r>
    </w:p>
    <w:p w:rsidR="00ED35BB" w:rsidRPr="00ED35BB" w:rsidRDefault="00CE3BB8" w:rsidP="009604A0">
      <w:pPr>
        <w:jc w:val="both"/>
        <w:rPr>
          <w:lang w:val="en-GB" w:eastAsia="zh-CN"/>
        </w:rPr>
      </w:pPr>
      <w:r>
        <w:rPr>
          <w:lang w:val="en-GB" w:eastAsia="zh-CN"/>
        </w:rPr>
        <w:t xml:space="preserve">For non-geostationary satellites, the </w:t>
      </w:r>
      <w:proofErr w:type="spellStart"/>
      <w:r>
        <w:rPr>
          <w:lang w:val="en-GB" w:eastAsia="zh-CN"/>
        </w:rPr>
        <w:t>Rician</w:t>
      </w:r>
      <w:proofErr w:type="spellEnd"/>
      <w:r>
        <w:rPr>
          <w:lang w:val="en-GB" w:eastAsia="zh-CN"/>
        </w:rPr>
        <w:t xml:space="preserve"> factor is </w:t>
      </w:r>
      <w:r w:rsidR="00294B47">
        <w:rPr>
          <w:lang w:val="en-GB" w:eastAsia="zh-CN"/>
        </w:rPr>
        <w:t xml:space="preserve">always </w:t>
      </w:r>
      <w:r>
        <w:rPr>
          <w:lang w:val="en-GB" w:eastAsia="zh-CN"/>
        </w:rPr>
        <w:t>time-varying even in the case of a fixed UE due to time-varying interference power and phase, but also due to the time-varying path loss.</w:t>
      </w:r>
      <w:r w:rsidR="00294B47">
        <w:rPr>
          <w:lang w:val="en-GB" w:eastAsia="zh-CN"/>
        </w:rPr>
        <w:t xml:space="preserve"> In the case of moving UE, the </w:t>
      </w:r>
      <w:proofErr w:type="spellStart"/>
      <w:r w:rsidR="00294B47">
        <w:rPr>
          <w:lang w:val="en-GB" w:eastAsia="zh-CN"/>
        </w:rPr>
        <w:t>Rician</w:t>
      </w:r>
      <w:proofErr w:type="spellEnd"/>
      <w:r w:rsidR="00294B47">
        <w:rPr>
          <w:lang w:val="en-GB" w:eastAsia="zh-CN"/>
        </w:rPr>
        <w:t xml:space="preserve"> factor is always time-varying.</w:t>
      </w:r>
    </w:p>
    <w:p w:rsidR="00C951E1" w:rsidRDefault="00C951E1" w:rsidP="00C951E1">
      <w:pPr>
        <w:jc w:val="both"/>
        <w:rPr>
          <w:lang w:val="en-GB"/>
        </w:rPr>
      </w:pPr>
      <w:r>
        <w:rPr>
          <w:lang w:val="en-GB"/>
        </w:rPr>
        <w:t xml:space="preserve">For bandwidths above </w:t>
      </w:r>
      <w:r w:rsidR="00E047C6">
        <w:rPr>
          <w:lang w:val="en-GB"/>
        </w:rPr>
        <w:t>5MHz</w:t>
      </w:r>
      <w:r>
        <w:rPr>
          <w:lang w:val="en-GB"/>
        </w:rPr>
        <w:t xml:space="preserve">, </w:t>
      </w:r>
      <w:r w:rsidR="00E047C6">
        <w:rPr>
          <w:lang w:val="en-GB"/>
        </w:rPr>
        <w:t xml:space="preserve">a frequency selective channel </w:t>
      </w:r>
      <w:r w:rsidR="00CE3BB8">
        <w:rPr>
          <w:lang w:val="en-GB"/>
        </w:rPr>
        <w:t>is</w:t>
      </w:r>
      <w:r w:rsidR="00E047C6">
        <w:rPr>
          <w:lang w:val="en-GB"/>
        </w:rPr>
        <w:t xml:space="preserve"> considered. It is generally described by </w:t>
      </w:r>
      <w:r w:rsidR="00CE3BB8">
        <w:rPr>
          <w:lang w:val="en-GB"/>
        </w:rPr>
        <w:t>a power delay profile</w:t>
      </w:r>
      <w:r w:rsidR="00C77873">
        <w:rPr>
          <w:lang w:val="en-GB"/>
        </w:rPr>
        <w:t>, which</w:t>
      </w:r>
      <w:r w:rsidR="00CE3BB8">
        <w:rPr>
          <w:lang w:val="en-GB"/>
        </w:rPr>
        <w:t xml:space="preserve"> is always time-varying in case of a non-geostationary</w:t>
      </w:r>
      <w:r w:rsidR="00294B47">
        <w:rPr>
          <w:lang w:val="en-GB"/>
        </w:rPr>
        <w:t xml:space="preserve"> satellite or moving UE.</w:t>
      </w:r>
    </w:p>
    <w:p w:rsidR="000914E1" w:rsidRPr="000C2225" w:rsidRDefault="000914E1" w:rsidP="00C951E1">
      <w:pPr>
        <w:pStyle w:val="Titre3"/>
      </w:pPr>
      <w:proofErr w:type="spellStart"/>
      <w:r w:rsidRPr="000C2225">
        <w:t>Ka</w:t>
      </w:r>
      <w:proofErr w:type="spellEnd"/>
      <w:r w:rsidRPr="000C2225">
        <w:t xml:space="preserve"> band</w:t>
      </w:r>
    </w:p>
    <w:p w:rsidR="000914E1" w:rsidRDefault="000C2225" w:rsidP="00C77873">
      <w:pPr>
        <w:jc w:val="both"/>
        <w:rPr>
          <w:lang w:val="en-GB" w:eastAsia="zh-CN"/>
        </w:rPr>
      </w:pPr>
      <w:r w:rsidRPr="000C2225">
        <w:rPr>
          <w:lang w:val="en-GB" w:eastAsia="zh-CN"/>
        </w:rPr>
        <w:t>The scope of the document is limited to</w:t>
      </w:r>
      <w:r>
        <w:rPr>
          <w:lang w:val="en-GB" w:eastAsia="zh-CN"/>
        </w:rPr>
        <w:t xml:space="preserve"> t</w:t>
      </w:r>
      <w:r w:rsidRPr="000C2225">
        <w:rPr>
          <w:lang w:val="en-GB" w:eastAsia="zh-CN"/>
        </w:rPr>
        <w:t>he case</w:t>
      </w:r>
      <w:r>
        <w:rPr>
          <w:lang w:val="en-GB" w:eastAsia="zh-CN"/>
        </w:rPr>
        <w:t xml:space="preserve"> of very small aperture terminals with highly directive antennas pointing towards the satellite.</w:t>
      </w:r>
      <w:r w:rsidRPr="000C2225">
        <w:rPr>
          <w:lang w:val="en-GB" w:eastAsia="zh-CN"/>
        </w:rPr>
        <w:t xml:space="preserve"> </w:t>
      </w:r>
      <w:r>
        <w:rPr>
          <w:lang w:val="en-GB" w:eastAsia="zh-CN"/>
        </w:rPr>
        <w:t xml:space="preserve">In this case, </w:t>
      </w:r>
      <w:r w:rsidR="00E047C6">
        <w:rPr>
          <w:lang w:val="en-GB" w:eastAsia="zh-CN"/>
        </w:rPr>
        <w:t>incoming signals outside the direction of the direct path remain unseen by the terminal so that AWGN channel is assumed.</w:t>
      </w:r>
      <w:r w:rsidR="00ED35BB">
        <w:rPr>
          <w:lang w:val="en-GB" w:eastAsia="zh-CN"/>
        </w:rPr>
        <w:t xml:space="preserve"> </w:t>
      </w:r>
    </w:p>
    <w:p w:rsidR="008B41E4" w:rsidRDefault="00103E90" w:rsidP="008B41E4">
      <w:pPr>
        <w:pStyle w:val="Titre2"/>
      </w:pPr>
      <w:r>
        <w:t xml:space="preserve">6.6 </w:t>
      </w:r>
      <w:r w:rsidR="008B41E4">
        <w:t>Doppler shift and Doppler spread</w:t>
      </w:r>
    </w:p>
    <w:p w:rsidR="008B41E4" w:rsidRPr="004E0048" w:rsidRDefault="008B41E4" w:rsidP="008B41E4">
      <w:pPr>
        <w:spacing w:after="0"/>
        <w:jc w:val="both"/>
        <w:rPr>
          <w:lang w:val="en-GB"/>
        </w:rPr>
      </w:pPr>
      <w:r w:rsidRPr="004E0048">
        <w:rPr>
          <w:lang w:val="en-GB"/>
        </w:rPr>
        <w:t>A Doppler shift has to be considered, especially when non GEO satellites or mobile terminals are considered.  The Doppler shift varies with the position of the satellite, being maximal at minimal elevation with a few tens of kHz as order of magnitude. Doppler spread also occurs due to terminal motion. In [</w:t>
      </w:r>
      <w:r w:rsidR="00A06015">
        <w:rPr>
          <w:lang w:val="en-GB"/>
        </w:rPr>
        <w:t>7</w:t>
      </w:r>
      <w:r w:rsidRPr="004E0048">
        <w:rPr>
          <w:lang w:val="en-GB"/>
        </w:rPr>
        <w:t>], a Butterworth filter has been selected as a more realistic approach than the classical Doppler spectrum to represent the Doppler spread of the LMS case channel. This Doppler spectrum is given by:</w:t>
      </w:r>
    </w:p>
    <w:p w:rsidR="008B41E4" w:rsidRPr="004E0048" w:rsidRDefault="008B41E4" w:rsidP="008B41E4">
      <w:pPr>
        <w:spacing w:after="0"/>
        <w:jc w:val="both"/>
        <w:rPr>
          <w:lang w:val="en-GB"/>
        </w:rPr>
      </w:pPr>
    </w:p>
    <w:p w:rsidR="008B41E4" w:rsidRPr="004E0048" w:rsidRDefault="001B6A96" w:rsidP="008B41E4">
      <w:pPr>
        <w:spacing w:after="0"/>
        <w:jc w:val="both"/>
        <w:rPr>
          <w:lang w:val="en-GB"/>
        </w:rPr>
      </w:pPr>
      <m:oMathPara>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Butt</m:t>
                  </m:r>
                </m:sub>
              </m:sSub>
              <m:r>
                <w:rPr>
                  <w:rFonts w:ascii="Cambria Math" w:hAnsi="Cambria Math"/>
                  <w:lang w:val="en-GB"/>
                </w:rPr>
                <m:t>(f)</m:t>
              </m:r>
            </m:e>
          </m:d>
          <m:r>
            <w:rPr>
              <w:rFonts w:ascii="Cambria Math" w:hAnsi="Cambria Math"/>
              <w:lang w:val="en-GB"/>
            </w:rPr>
            <m:t>²=</m:t>
          </m:r>
          <m:f>
            <m:fPr>
              <m:ctrlPr>
                <w:rPr>
                  <w:rFonts w:ascii="Cambria Math" w:hAnsi="Cambria Math"/>
                  <w:i/>
                  <w:lang w:val="en-GB"/>
                </w:rPr>
              </m:ctrlPr>
            </m:fPr>
            <m:num>
              <m:r>
                <w:rPr>
                  <w:rFonts w:ascii="Cambria Math" w:hAnsi="Cambria Math"/>
                  <w:lang w:val="en-GB"/>
                </w:rPr>
                <m:t>B</m:t>
              </m:r>
            </m:num>
            <m:den>
              <m:r>
                <w:rPr>
                  <w:rFonts w:ascii="Cambria Math" w:hAnsi="Cambria Math"/>
                  <w:lang w:val="en-GB"/>
                </w:rPr>
                <m:t>1+</m:t>
              </m:r>
              <m:sSup>
                <m:sSupPr>
                  <m:ctrlPr>
                    <w:rPr>
                      <w:rFonts w:ascii="Cambria Math" w:hAnsi="Cambria Math"/>
                      <w:i/>
                      <w:lang w:val="en-GB"/>
                    </w:rPr>
                  </m:ctrlPr>
                </m:sSupPr>
                <m:e>
                  <m:r>
                    <w:rPr>
                      <w:rFonts w:ascii="Cambria Math" w:hAnsi="Cambria Math"/>
                      <w:lang w:val="en-GB"/>
                    </w:rPr>
                    <m:t>(</m:t>
                  </m:r>
                  <m:f>
                    <m:fPr>
                      <m:ctrlPr>
                        <w:rPr>
                          <w:rFonts w:ascii="Cambria Math" w:hAnsi="Cambria Math"/>
                          <w:i/>
                          <w:lang w:val="en-GB"/>
                        </w:rPr>
                      </m:ctrlPr>
                    </m:fPr>
                    <m:num>
                      <m:r>
                        <w:rPr>
                          <w:rFonts w:ascii="Cambria Math" w:hAnsi="Cambria Math"/>
                          <w:lang w:val="en-GB"/>
                        </w:rPr>
                        <m:t>f</m:t>
                      </m:r>
                    </m:num>
                    <m:den>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den>
                  </m:f>
                  <m:r>
                    <w:rPr>
                      <w:rFonts w:ascii="Cambria Math" w:hAnsi="Cambria Math"/>
                      <w:lang w:val="en-GB"/>
                    </w:rPr>
                    <m:t>)</m:t>
                  </m:r>
                </m:e>
                <m:sup>
                  <m:r>
                    <w:rPr>
                      <w:rFonts w:ascii="Cambria Math" w:hAnsi="Cambria Math"/>
                      <w:lang w:val="en-GB"/>
                    </w:rPr>
                    <m:t>2k</m:t>
                  </m:r>
                </m:sup>
              </m:sSup>
            </m:den>
          </m:f>
        </m:oMath>
      </m:oMathPara>
    </w:p>
    <w:p w:rsidR="008B41E4" w:rsidRPr="004E0048" w:rsidRDefault="00105962" w:rsidP="008B41E4">
      <w:pPr>
        <w:spacing w:after="0"/>
        <w:jc w:val="both"/>
        <w:rPr>
          <w:rFonts w:eastAsiaTheme="minorEastAsia"/>
          <w:lang w:val="en-GB"/>
        </w:rPr>
      </w:pPr>
      <w:r>
        <w:rPr>
          <w:lang w:val="en-GB"/>
        </w:rPr>
        <w:t>w</w:t>
      </w:r>
      <w:r w:rsidR="008B41E4" w:rsidRPr="004E0048">
        <w:rPr>
          <w:lang w:val="en-GB"/>
        </w:rPr>
        <w:t xml:space="preserve">here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oMath>
      <w:r w:rsidR="008B41E4" w:rsidRPr="004E0048">
        <w:rPr>
          <w:rFonts w:eastAsiaTheme="minorEastAsia"/>
          <w:lang w:val="en-GB"/>
        </w:rPr>
        <w:t xml:space="preserve"> is the cut-off frequency, k the order of the filter and B a normalizing constant. The maximum Doppler spread depends on the terminal velocity and is typically of several hundred Hertz.</w:t>
      </w:r>
    </w:p>
    <w:p w:rsidR="008B41E4" w:rsidRDefault="008B41E4" w:rsidP="008B41E4">
      <w:pPr>
        <w:rPr>
          <w:lang w:val="en-GB" w:eastAsia="zh-CN"/>
        </w:rPr>
      </w:pPr>
    </w:p>
    <w:p w:rsidR="009120D8" w:rsidRPr="008E7116" w:rsidRDefault="009120D8" w:rsidP="009120D8">
      <w:pPr>
        <w:pStyle w:val="Commentaire"/>
        <w:rPr>
          <w:rFonts w:eastAsiaTheme="minorEastAsia"/>
          <w:sz w:val="22"/>
          <w:szCs w:val="22"/>
          <w:lang w:val="en-GB" w:eastAsia="zh-CN"/>
        </w:rPr>
      </w:pPr>
      <w:r>
        <w:rPr>
          <w:rFonts w:eastAsiaTheme="minorEastAsia"/>
          <w:sz w:val="22"/>
          <w:szCs w:val="22"/>
          <w:lang w:val="en-GB" w:eastAsia="zh-CN"/>
        </w:rPr>
        <w:t>The r</w:t>
      </w:r>
      <w:r w:rsidRPr="008E7116">
        <w:rPr>
          <w:rFonts w:eastAsiaTheme="minorEastAsia"/>
          <w:sz w:val="22"/>
          <w:szCs w:val="22"/>
          <w:lang w:val="en-GB" w:eastAsia="zh-CN"/>
        </w:rPr>
        <w:t>eader shall note that if Doppler spectrum given in [</w:t>
      </w:r>
      <w:r w:rsidR="00A06015">
        <w:rPr>
          <w:rFonts w:eastAsiaTheme="minorEastAsia"/>
          <w:sz w:val="22"/>
          <w:szCs w:val="22"/>
          <w:lang w:val="en-GB" w:eastAsia="zh-CN"/>
        </w:rPr>
        <w:t>7</w:t>
      </w:r>
      <w:r w:rsidRPr="008E7116">
        <w:rPr>
          <w:rFonts w:eastAsiaTheme="minorEastAsia"/>
          <w:sz w:val="22"/>
          <w:szCs w:val="22"/>
          <w:lang w:val="en-GB" w:eastAsia="zh-CN"/>
        </w:rPr>
        <w:t>] seems to be the closest to the reality, the last LMS model given in [</w:t>
      </w:r>
      <w:r w:rsidR="00A06015">
        <w:rPr>
          <w:rFonts w:eastAsiaTheme="minorEastAsia"/>
          <w:sz w:val="22"/>
          <w:szCs w:val="22"/>
          <w:lang w:val="en-GB" w:eastAsia="zh-CN"/>
        </w:rPr>
        <w:t>8</w:t>
      </w:r>
      <w:r w:rsidRPr="008E7116">
        <w:rPr>
          <w:rFonts w:eastAsiaTheme="minorEastAsia"/>
          <w:sz w:val="22"/>
          <w:szCs w:val="22"/>
          <w:lang w:val="en-GB" w:eastAsia="zh-CN"/>
        </w:rPr>
        <w:t>] is using Jakes model. For information studies have been done about the impact of the Doppler spectrum over temporal propagation series, and impact seems to be limited.</w:t>
      </w:r>
    </w:p>
    <w:p w:rsidR="009120D8" w:rsidRDefault="009120D8" w:rsidP="008B41E4">
      <w:pPr>
        <w:rPr>
          <w:lang w:val="en-GB" w:eastAsia="zh-CN"/>
        </w:rPr>
      </w:pPr>
    </w:p>
    <w:p w:rsidR="006C373D" w:rsidRDefault="006C373D" w:rsidP="006C373D">
      <w:pPr>
        <w:pStyle w:val="Titre2"/>
      </w:pPr>
      <w:r>
        <w:t>6.7 Differences between terrestrial and satellite channel models</w:t>
      </w:r>
    </w:p>
    <w:p w:rsidR="006C373D" w:rsidRPr="000A4A1C" w:rsidRDefault="006C373D" w:rsidP="006C373D">
      <w:pPr>
        <w:jc w:val="both"/>
        <w:rPr>
          <w:lang w:val="en-GB" w:eastAsia="zh-CN"/>
        </w:rPr>
      </w:pPr>
      <w:r w:rsidRPr="000A4A1C">
        <w:rPr>
          <w:lang w:val="en-GB" w:eastAsia="zh-CN"/>
        </w:rPr>
        <w:t xml:space="preserve">Limiting the comparison to </w:t>
      </w:r>
      <w:proofErr w:type="spellStart"/>
      <w:r w:rsidRPr="000A4A1C">
        <w:rPr>
          <w:lang w:val="en-GB" w:eastAsia="zh-CN"/>
        </w:rPr>
        <w:t>LoS</w:t>
      </w:r>
      <w:proofErr w:type="spellEnd"/>
      <w:r w:rsidRPr="000A4A1C">
        <w:rPr>
          <w:lang w:val="en-GB" w:eastAsia="zh-CN"/>
        </w:rPr>
        <w:t xml:space="preserve"> scenarios, terrestrial and satellite channel models differ in the following points</w:t>
      </w:r>
      <w:r>
        <w:rPr>
          <w:lang w:val="en-GB" w:eastAsia="zh-CN"/>
        </w:rPr>
        <w:t>:</w:t>
      </w:r>
    </w:p>
    <w:tbl>
      <w:tblPr>
        <w:tblStyle w:val="Grilledutableau"/>
        <w:tblW w:w="5000" w:type="pct"/>
        <w:tblLook w:val="04A0" w:firstRow="1" w:lastRow="0" w:firstColumn="1" w:lastColumn="0" w:noHBand="0" w:noVBand="1"/>
      </w:tblPr>
      <w:tblGrid>
        <w:gridCol w:w="2405"/>
        <w:gridCol w:w="2405"/>
        <w:gridCol w:w="2406"/>
        <w:gridCol w:w="2406"/>
      </w:tblGrid>
      <w:tr w:rsidR="006C373D" w:rsidRPr="006750F5" w:rsidTr="008F0C5C">
        <w:tc>
          <w:tcPr>
            <w:tcW w:w="1250" w:type="pct"/>
            <w:vAlign w:val="center"/>
          </w:tcPr>
          <w:p w:rsidR="006C373D" w:rsidRPr="00CC249F" w:rsidRDefault="006C373D" w:rsidP="008F0C5C">
            <w:pPr>
              <w:spacing w:after="0"/>
              <w:jc w:val="center"/>
              <w:rPr>
                <w:b/>
              </w:rPr>
            </w:pPr>
            <w:r w:rsidRPr="00CC249F">
              <w:rPr>
                <w:b/>
              </w:rPr>
              <w:t>Channel model attributes</w:t>
            </w:r>
          </w:p>
        </w:tc>
        <w:tc>
          <w:tcPr>
            <w:tcW w:w="1250" w:type="pct"/>
            <w:vAlign w:val="center"/>
          </w:tcPr>
          <w:p w:rsidR="006C373D" w:rsidRPr="006750F5" w:rsidRDefault="006C373D" w:rsidP="008F0C5C">
            <w:pPr>
              <w:spacing w:after="0"/>
              <w:jc w:val="center"/>
            </w:pPr>
            <w:r>
              <w:t>T</w:t>
            </w:r>
            <w:r w:rsidRPr="006750F5">
              <w:t>errestrial</w:t>
            </w:r>
            <w:r>
              <w:t xml:space="preserve"> (all frequencies)</w:t>
            </w:r>
          </w:p>
        </w:tc>
        <w:tc>
          <w:tcPr>
            <w:tcW w:w="1250" w:type="pct"/>
            <w:vAlign w:val="center"/>
          </w:tcPr>
          <w:p w:rsidR="006C373D" w:rsidRPr="006750F5" w:rsidRDefault="006C373D" w:rsidP="008F0C5C">
            <w:pPr>
              <w:spacing w:after="0"/>
              <w:jc w:val="center"/>
            </w:pPr>
            <w:r w:rsidRPr="006750F5">
              <w:t xml:space="preserve">Satellite </w:t>
            </w:r>
            <w:r>
              <w:t>below 6GHz</w:t>
            </w:r>
          </w:p>
        </w:tc>
        <w:tc>
          <w:tcPr>
            <w:tcW w:w="1250" w:type="pct"/>
            <w:vAlign w:val="center"/>
          </w:tcPr>
          <w:p w:rsidR="006C373D" w:rsidRPr="006750F5" w:rsidRDefault="006C373D" w:rsidP="008F0C5C">
            <w:pPr>
              <w:spacing w:after="0"/>
              <w:jc w:val="center"/>
            </w:pPr>
            <w:r w:rsidRPr="006750F5">
              <w:t xml:space="preserve">Satellite </w:t>
            </w:r>
            <w:r>
              <w:t>in Ka band</w:t>
            </w:r>
          </w:p>
        </w:tc>
      </w:tr>
      <w:tr w:rsidR="006C373D" w:rsidTr="008F0C5C">
        <w:tc>
          <w:tcPr>
            <w:tcW w:w="1250" w:type="pct"/>
            <w:vAlign w:val="center"/>
          </w:tcPr>
          <w:p w:rsidR="006C373D" w:rsidRPr="006750F5" w:rsidRDefault="006C373D" w:rsidP="008F0C5C">
            <w:pPr>
              <w:spacing w:after="0"/>
              <w:jc w:val="center"/>
            </w:pPr>
            <w:r w:rsidRPr="006750F5">
              <w:t>Multi path delay model</w:t>
            </w:r>
          </w:p>
        </w:tc>
        <w:tc>
          <w:tcPr>
            <w:tcW w:w="1250" w:type="pct"/>
            <w:vAlign w:val="center"/>
          </w:tcPr>
          <w:p w:rsidR="006C373D" w:rsidRPr="006750F5" w:rsidRDefault="006C373D" w:rsidP="008F0C5C">
            <w:pPr>
              <w:spacing w:after="0"/>
              <w:jc w:val="center"/>
            </w:pPr>
            <w:r w:rsidRPr="006750F5">
              <w:t xml:space="preserve">Selective </w:t>
            </w:r>
            <w:r>
              <w:t>frequency channel</w:t>
            </w:r>
          </w:p>
        </w:tc>
        <w:tc>
          <w:tcPr>
            <w:tcW w:w="1250" w:type="pct"/>
            <w:vAlign w:val="center"/>
          </w:tcPr>
          <w:p w:rsidR="006C373D" w:rsidRPr="006750F5" w:rsidRDefault="006C373D" w:rsidP="008F0C5C">
            <w:pPr>
              <w:spacing w:after="0"/>
              <w:jc w:val="center"/>
            </w:pPr>
            <w:r>
              <w:t xml:space="preserve">Flat frequency fading for bandwidth &lt; 5 MHz, </w:t>
            </w:r>
            <w:r>
              <w:lastRenderedPageBreak/>
              <w:t>selective frequency fading otherwise (*)</w:t>
            </w:r>
          </w:p>
        </w:tc>
        <w:tc>
          <w:tcPr>
            <w:tcW w:w="1250" w:type="pct"/>
            <w:vAlign w:val="center"/>
          </w:tcPr>
          <w:p w:rsidR="006C373D" w:rsidRPr="00A15273" w:rsidRDefault="006C373D" w:rsidP="008F0C5C">
            <w:pPr>
              <w:spacing w:after="0"/>
              <w:jc w:val="center"/>
            </w:pPr>
            <w:r>
              <w:lastRenderedPageBreak/>
              <w:t xml:space="preserve">AWGN (considering highly directive  UE </w:t>
            </w:r>
            <w:r>
              <w:lastRenderedPageBreak/>
              <w:t>antennas)</w:t>
            </w:r>
          </w:p>
        </w:tc>
      </w:tr>
      <w:tr w:rsidR="006C373D" w:rsidTr="008F0C5C">
        <w:tc>
          <w:tcPr>
            <w:tcW w:w="1250" w:type="pct"/>
            <w:vAlign w:val="center"/>
          </w:tcPr>
          <w:p w:rsidR="006C373D" w:rsidRPr="00E05EF8" w:rsidRDefault="006C373D" w:rsidP="008F0C5C">
            <w:pPr>
              <w:spacing w:after="0"/>
              <w:jc w:val="center"/>
            </w:pPr>
            <w:r w:rsidRPr="00E05EF8">
              <w:lastRenderedPageBreak/>
              <w:t>In band non-linear distortion</w:t>
            </w:r>
          </w:p>
        </w:tc>
        <w:tc>
          <w:tcPr>
            <w:tcW w:w="1250" w:type="pct"/>
            <w:vAlign w:val="center"/>
          </w:tcPr>
          <w:p w:rsidR="006C373D" w:rsidRPr="00E05EF8" w:rsidRDefault="006C373D" w:rsidP="008F0C5C">
            <w:pPr>
              <w:spacing w:after="0"/>
              <w:jc w:val="center"/>
            </w:pPr>
            <w:r w:rsidRPr="00E05EF8">
              <w:t>No</w:t>
            </w:r>
          </w:p>
        </w:tc>
        <w:tc>
          <w:tcPr>
            <w:tcW w:w="1250" w:type="pct"/>
            <w:vAlign w:val="center"/>
          </w:tcPr>
          <w:p w:rsidR="006C373D" w:rsidRPr="00E05EF8" w:rsidRDefault="006C373D" w:rsidP="008F0C5C">
            <w:pPr>
              <w:spacing w:after="0"/>
              <w:jc w:val="center"/>
            </w:pPr>
            <w:r w:rsidRPr="00E05EF8">
              <w:t>Yes</w:t>
            </w:r>
            <w:r>
              <w:t xml:space="preserve"> (**)</w:t>
            </w:r>
          </w:p>
        </w:tc>
        <w:tc>
          <w:tcPr>
            <w:tcW w:w="1250" w:type="pct"/>
            <w:vAlign w:val="center"/>
          </w:tcPr>
          <w:p w:rsidR="006C373D" w:rsidRPr="00E05EF8" w:rsidRDefault="006C373D" w:rsidP="008F0C5C">
            <w:pPr>
              <w:spacing w:after="0"/>
              <w:jc w:val="center"/>
            </w:pPr>
            <w:r w:rsidRPr="00E05EF8">
              <w:t>Yes</w:t>
            </w:r>
            <w:r>
              <w:t xml:space="preserve"> (**)</w:t>
            </w:r>
          </w:p>
        </w:tc>
      </w:tr>
      <w:tr w:rsidR="006C373D" w:rsidTr="008F0C5C">
        <w:tc>
          <w:tcPr>
            <w:tcW w:w="1250" w:type="pct"/>
            <w:vAlign w:val="center"/>
          </w:tcPr>
          <w:p w:rsidR="006C373D" w:rsidRPr="00E05EF8" w:rsidRDefault="006C373D" w:rsidP="008F0C5C">
            <w:pPr>
              <w:spacing w:after="0"/>
              <w:jc w:val="center"/>
            </w:pPr>
            <w:r>
              <w:t>Phase noise</w:t>
            </w:r>
          </w:p>
        </w:tc>
        <w:tc>
          <w:tcPr>
            <w:tcW w:w="1250" w:type="pct"/>
            <w:vAlign w:val="center"/>
          </w:tcPr>
          <w:p w:rsidR="006C373D" w:rsidRPr="00E05EF8" w:rsidRDefault="006C373D" w:rsidP="008F0C5C">
            <w:pPr>
              <w:spacing w:after="0"/>
              <w:jc w:val="center"/>
            </w:pPr>
            <w:r w:rsidRPr="00E05EF8">
              <w:t>No</w:t>
            </w:r>
          </w:p>
        </w:tc>
        <w:tc>
          <w:tcPr>
            <w:tcW w:w="1250" w:type="pct"/>
            <w:vAlign w:val="center"/>
          </w:tcPr>
          <w:p w:rsidR="006C373D" w:rsidRPr="00E05EF8" w:rsidRDefault="006C373D" w:rsidP="008F0C5C">
            <w:pPr>
              <w:spacing w:after="0"/>
              <w:jc w:val="center"/>
            </w:pPr>
            <w:r w:rsidRPr="00E05EF8">
              <w:t>Yes</w:t>
            </w:r>
            <w:r>
              <w:t xml:space="preserve"> (only for bent-pipe satellites)</w:t>
            </w:r>
          </w:p>
        </w:tc>
        <w:tc>
          <w:tcPr>
            <w:tcW w:w="1250" w:type="pct"/>
            <w:vAlign w:val="center"/>
          </w:tcPr>
          <w:p w:rsidR="006C373D" w:rsidRPr="00E05EF8" w:rsidRDefault="006C373D" w:rsidP="008F0C5C">
            <w:pPr>
              <w:spacing w:after="0"/>
              <w:jc w:val="center"/>
            </w:pPr>
            <w:r w:rsidRPr="00E05EF8">
              <w:t>Yes</w:t>
            </w:r>
            <w:r>
              <w:t xml:space="preserve"> (only for bent-pipe satellites)</w:t>
            </w:r>
          </w:p>
        </w:tc>
      </w:tr>
      <w:tr w:rsidR="006C373D" w:rsidTr="008F0C5C">
        <w:tc>
          <w:tcPr>
            <w:tcW w:w="1250" w:type="pct"/>
            <w:vAlign w:val="center"/>
          </w:tcPr>
          <w:p w:rsidR="006C373D" w:rsidRDefault="006C373D" w:rsidP="008F0C5C">
            <w:pPr>
              <w:spacing w:after="0"/>
              <w:jc w:val="center"/>
            </w:pPr>
            <w:r>
              <w:t>Doppler shift</w:t>
            </w:r>
          </w:p>
        </w:tc>
        <w:tc>
          <w:tcPr>
            <w:tcW w:w="1250" w:type="pct"/>
            <w:vAlign w:val="center"/>
          </w:tcPr>
          <w:p w:rsidR="006C373D" w:rsidRDefault="006C373D" w:rsidP="008F0C5C">
            <w:pPr>
              <w:spacing w:after="0"/>
              <w:jc w:val="center"/>
            </w:pPr>
            <w:r>
              <w:t>Relatively Lower (except for high speed trains)</w:t>
            </w:r>
          </w:p>
        </w:tc>
        <w:tc>
          <w:tcPr>
            <w:tcW w:w="1250" w:type="pct"/>
            <w:vAlign w:val="center"/>
          </w:tcPr>
          <w:p w:rsidR="006C373D" w:rsidRDefault="006C373D" w:rsidP="008F0C5C">
            <w:pPr>
              <w:spacing w:after="0"/>
              <w:jc w:val="center"/>
            </w:pPr>
            <w:r>
              <w:t>Possibly High in case of LEO/MEO (***)</w:t>
            </w:r>
          </w:p>
        </w:tc>
        <w:tc>
          <w:tcPr>
            <w:tcW w:w="1250" w:type="pct"/>
            <w:vAlign w:val="center"/>
          </w:tcPr>
          <w:p w:rsidR="006C373D" w:rsidRDefault="006C373D" w:rsidP="008F0C5C">
            <w:pPr>
              <w:spacing w:after="0"/>
              <w:jc w:val="center"/>
            </w:pPr>
            <w:r>
              <w:t>Possibly High in case of LEO/MEO (***)</w:t>
            </w:r>
          </w:p>
        </w:tc>
      </w:tr>
      <w:tr w:rsidR="006C373D" w:rsidRPr="006750F5" w:rsidTr="008F0C5C">
        <w:tc>
          <w:tcPr>
            <w:tcW w:w="1250" w:type="pct"/>
            <w:vAlign w:val="center"/>
          </w:tcPr>
          <w:p w:rsidR="006C373D" w:rsidRPr="006750F5" w:rsidRDefault="006C373D" w:rsidP="008F0C5C">
            <w:pPr>
              <w:spacing w:after="0"/>
              <w:jc w:val="center"/>
            </w:pPr>
            <w:r w:rsidRPr="006750F5">
              <w:t>Doppler spread model</w:t>
            </w:r>
          </w:p>
        </w:tc>
        <w:tc>
          <w:tcPr>
            <w:tcW w:w="1250" w:type="pct"/>
            <w:vAlign w:val="center"/>
          </w:tcPr>
          <w:p w:rsidR="006C373D" w:rsidRPr="006750F5" w:rsidRDefault="006C373D" w:rsidP="008F0C5C">
            <w:pPr>
              <w:spacing w:after="0"/>
              <w:jc w:val="center"/>
            </w:pPr>
            <w:r w:rsidRPr="006750F5">
              <w:t>Classical Doppler</w:t>
            </w:r>
          </w:p>
        </w:tc>
        <w:tc>
          <w:tcPr>
            <w:tcW w:w="1250" w:type="pct"/>
            <w:vAlign w:val="center"/>
          </w:tcPr>
          <w:p w:rsidR="006C373D" w:rsidRPr="006750F5" w:rsidRDefault="006C373D" w:rsidP="008F0C5C">
            <w:pPr>
              <w:spacing w:after="0"/>
              <w:jc w:val="center"/>
            </w:pPr>
            <w:r w:rsidRPr="006750F5">
              <w:t>Butterworth</w:t>
            </w:r>
          </w:p>
        </w:tc>
        <w:tc>
          <w:tcPr>
            <w:tcW w:w="1250" w:type="pct"/>
            <w:vAlign w:val="center"/>
          </w:tcPr>
          <w:p w:rsidR="006C373D" w:rsidRPr="006750F5" w:rsidRDefault="006C373D" w:rsidP="008F0C5C">
            <w:pPr>
              <w:spacing w:after="0"/>
              <w:jc w:val="center"/>
            </w:pPr>
            <w:r>
              <w:t>None</w:t>
            </w:r>
          </w:p>
        </w:tc>
      </w:tr>
    </w:tbl>
    <w:p w:rsidR="006C373D" w:rsidRDefault="006C373D" w:rsidP="006C373D">
      <w:pPr>
        <w:spacing w:after="0"/>
        <w:jc w:val="both"/>
      </w:pPr>
      <w:r>
        <w:t>(*) For a given scenario (urban, suburban or rural), channel selectivity is expected to be higher in the terrestrial case</w:t>
      </w:r>
    </w:p>
    <w:p w:rsidR="006C373D" w:rsidRDefault="006C373D" w:rsidP="006C373D">
      <w:pPr>
        <w:spacing w:after="0"/>
        <w:jc w:val="both"/>
      </w:pPr>
      <w:r>
        <w:t>(**) only for bent-pipe satellites</w:t>
      </w:r>
    </w:p>
    <w:p w:rsidR="006C373D" w:rsidRPr="00525496" w:rsidRDefault="006C373D" w:rsidP="006C373D">
      <w:pPr>
        <w:spacing w:after="0"/>
        <w:jc w:val="both"/>
      </w:pPr>
      <w:r>
        <w:t>(***) can be pre/post compensated by gNB</w:t>
      </w:r>
      <w:r w:rsidR="00237214">
        <w:t xml:space="preserve"> depending on the </w:t>
      </w:r>
      <w:r w:rsidR="00C26E98">
        <w:t xml:space="preserve">considered </w:t>
      </w:r>
      <w:r w:rsidR="00237214">
        <w:t>scenario</w:t>
      </w:r>
    </w:p>
    <w:p w:rsidR="00103E90" w:rsidRDefault="00103E90" w:rsidP="00103E90">
      <w:pPr>
        <w:rPr>
          <w:color w:val="1F497D"/>
        </w:rPr>
      </w:pPr>
    </w:p>
    <w:p w:rsidR="005B371F" w:rsidRDefault="005B371F" w:rsidP="005B371F">
      <w:pPr>
        <w:jc w:val="both"/>
        <w:rPr>
          <w:lang w:eastAsia="zh-CN"/>
        </w:rPr>
      </w:pPr>
      <w:r>
        <w:rPr>
          <w:lang w:eastAsia="zh-CN"/>
        </w:rPr>
        <w:t xml:space="preserve">Considering </w:t>
      </w:r>
      <w:r w:rsidR="00601635">
        <w:rPr>
          <w:lang w:eastAsia="zh-CN"/>
        </w:rPr>
        <w:t>line of sight</w:t>
      </w:r>
      <w:r>
        <w:rPr>
          <w:lang w:eastAsia="zh-CN"/>
        </w:rPr>
        <w:t xml:space="preserve"> conditions, the satellite channel model is a flat frequency channel with a time-varying attenuation.  A Doppler shift has to be considered, especially for non GEO satellites or mobile terminals, while the Doppler spectrum is characterized by a Butterworth filter.</w:t>
      </w:r>
    </w:p>
    <w:p w:rsidR="005B371F" w:rsidRDefault="005B371F" w:rsidP="005B371F">
      <w:pPr>
        <w:jc w:val="both"/>
        <w:rPr>
          <w:lang w:eastAsia="zh-CN"/>
        </w:rPr>
      </w:pPr>
      <w:r>
        <w:rPr>
          <w:lang w:eastAsia="zh-CN"/>
        </w:rPr>
        <w:t>The main differences between terrestrial and satellite channel models, which will require a 3GPP model change, are:</w:t>
      </w:r>
    </w:p>
    <w:p w:rsidR="005B371F" w:rsidRDefault="005B371F" w:rsidP="005B371F">
      <w:pPr>
        <w:pStyle w:val="Paragraphedeliste"/>
        <w:numPr>
          <w:ilvl w:val="0"/>
          <w:numId w:val="26"/>
        </w:numPr>
        <w:spacing w:line="256" w:lineRule="auto"/>
        <w:jc w:val="both"/>
        <w:rPr>
          <w:lang w:eastAsia="zh-CN"/>
        </w:rPr>
      </w:pPr>
      <w:r>
        <w:rPr>
          <w:lang w:eastAsia="zh-CN"/>
        </w:rPr>
        <w:t>The Doppler spread filter</w:t>
      </w:r>
    </w:p>
    <w:p w:rsidR="005B371F" w:rsidRDefault="005B371F" w:rsidP="005B371F">
      <w:pPr>
        <w:pStyle w:val="Paragraphedeliste"/>
        <w:numPr>
          <w:ilvl w:val="0"/>
          <w:numId w:val="26"/>
        </w:numPr>
        <w:spacing w:line="256" w:lineRule="auto"/>
        <w:jc w:val="both"/>
        <w:rPr>
          <w:lang w:eastAsia="zh-CN"/>
        </w:rPr>
      </w:pPr>
      <w:r>
        <w:rPr>
          <w:lang w:eastAsia="zh-CN"/>
        </w:rPr>
        <w:t>The maximum Doppler shift value</w:t>
      </w:r>
    </w:p>
    <w:p w:rsidR="005B371F" w:rsidRDefault="005B371F" w:rsidP="005B371F">
      <w:pPr>
        <w:pStyle w:val="Paragraphedeliste"/>
        <w:numPr>
          <w:ilvl w:val="0"/>
          <w:numId w:val="26"/>
        </w:numPr>
        <w:spacing w:line="256" w:lineRule="auto"/>
        <w:jc w:val="both"/>
        <w:rPr>
          <w:lang w:eastAsia="zh-CN"/>
        </w:rPr>
      </w:pPr>
      <w:r>
        <w:rPr>
          <w:lang w:eastAsia="zh-CN"/>
        </w:rPr>
        <w:t>The inclusion of non-linear distortion by introducing an additional in band interference level</w:t>
      </w:r>
    </w:p>
    <w:p w:rsidR="005B371F" w:rsidRPr="00177A87" w:rsidRDefault="005B371F" w:rsidP="00103E90">
      <w:pPr>
        <w:rPr>
          <w:color w:val="1F497D"/>
        </w:rPr>
      </w:pPr>
    </w:p>
    <w:p w:rsidR="00103E90" w:rsidRPr="00A5125D" w:rsidRDefault="00103E90" w:rsidP="00103E9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5125D">
        <w:rPr>
          <w:rFonts w:ascii="Arial" w:hAnsi="Arial" w:cs="Arial"/>
          <w:color w:val="FF0000"/>
          <w:sz w:val="28"/>
          <w:szCs w:val="28"/>
        </w:rPr>
        <w:t>* * * End of Changes * * * *</w:t>
      </w:r>
    </w:p>
    <w:p w:rsidR="006A22E4" w:rsidRPr="006A22E4" w:rsidRDefault="006A22E4" w:rsidP="006A22E4">
      <w:pPr>
        <w:rPr>
          <w:lang w:eastAsia="zh-CN"/>
        </w:rPr>
      </w:pPr>
    </w:p>
    <w:sectPr w:rsidR="006A22E4" w:rsidRPr="006A22E4">
      <w:footerReference w:type="defaul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A96" w:rsidRDefault="001B6A96" w:rsidP="000519FA">
      <w:pPr>
        <w:spacing w:after="0" w:line="240" w:lineRule="auto"/>
      </w:pPr>
      <w:r>
        <w:separator/>
      </w:r>
    </w:p>
  </w:endnote>
  <w:endnote w:type="continuationSeparator" w:id="0">
    <w:p w:rsidR="001B6A96" w:rsidRDefault="001B6A9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D34CD6" w:rsidRDefault="00D34CD6">
        <w:pPr>
          <w:pStyle w:val="Pieddepage"/>
          <w:jc w:val="center"/>
        </w:pPr>
        <w:r>
          <w:fldChar w:fldCharType="begin"/>
        </w:r>
        <w:r>
          <w:instrText xml:space="preserve"> PAGE   \* MERGEFORMAT </w:instrText>
        </w:r>
        <w:r>
          <w:fldChar w:fldCharType="separate"/>
        </w:r>
        <w:r w:rsidR="00DA5BF2">
          <w:rPr>
            <w:noProof/>
          </w:rPr>
          <w:t>8</w:t>
        </w:r>
        <w:r>
          <w:rPr>
            <w:noProof/>
          </w:rPr>
          <w:fldChar w:fldCharType="end"/>
        </w:r>
      </w:p>
    </w:sdtContent>
  </w:sdt>
  <w:p w:rsidR="00D34CD6" w:rsidRDefault="00D34CD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A96" w:rsidRDefault="001B6A96" w:rsidP="000519FA">
      <w:pPr>
        <w:spacing w:after="0" w:line="240" w:lineRule="auto"/>
      </w:pPr>
      <w:r>
        <w:separator/>
      </w:r>
    </w:p>
  </w:footnote>
  <w:footnote w:type="continuationSeparator" w:id="0">
    <w:p w:rsidR="001B6A96" w:rsidRDefault="001B6A96"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1">
    <w:nsid w:val="460F738D"/>
    <w:multiLevelType w:val="hybridMultilevel"/>
    <w:tmpl w:val="6DCED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18572C"/>
    <w:multiLevelType w:val="multilevel"/>
    <w:tmpl w:val="01E2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1"/>
  </w:num>
  <w:num w:numId="8">
    <w:abstractNumId w:val="12"/>
  </w:num>
  <w:num w:numId="9">
    <w:abstractNumId w:val="3"/>
  </w:num>
  <w:num w:numId="10">
    <w:abstractNumId w:val="10"/>
  </w:num>
  <w:num w:numId="11">
    <w:abstractNumId w:val="19"/>
  </w:num>
  <w:num w:numId="12">
    <w:abstractNumId w:val="20"/>
  </w:num>
  <w:num w:numId="13">
    <w:abstractNumId w:val="5"/>
  </w:num>
  <w:num w:numId="14">
    <w:abstractNumId w:val="6"/>
  </w:num>
  <w:num w:numId="15">
    <w:abstractNumId w:val="2"/>
  </w:num>
  <w:num w:numId="16">
    <w:abstractNumId w:val="8"/>
  </w:num>
  <w:num w:numId="17">
    <w:abstractNumId w:val="16"/>
  </w:num>
  <w:num w:numId="18">
    <w:abstractNumId w:val="18"/>
  </w:num>
  <w:num w:numId="19">
    <w:abstractNumId w:val="4"/>
  </w:num>
  <w:num w:numId="20">
    <w:abstractNumId w:val="9"/>
  </w:num>
  <w:num w:numId="21">
    <w:abstractNumId w:val="11"/>
  </w:num>
  <w:num w:numId="22">
    <w:abstractNumId w:val="17"/>
  </w:num>
  <w:num w:numId="23">
    <w:abstractNumId w:val="14"/>
  </w:num>
  <w:num w:numId="24">
    <w:abstractNumId w:val="7"/>
  </w:num>
  <w:num w:numId="25">
    <w:abstractNumId w:val="0"/>
    <w:lvlOverride w:ilvl="0">
      <w:startOverride w:val="6"/>
    </w:lvlOverride>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35F9"/>
    <w:rsid w:val="00027E68"/>
    <w:rsid w:val="000300FA"/>
    <w:rsid w:val="000330CB"/>
    <w:rsid w:val="0003650E"/>
    <w:rsid w:val="00041657"/>
    <w:rsid w:val="00042C03"/>
    <w:rsid w:val="000519FA"/>
    <w:rsid w:val="000549D5"/>
    <w:rsid w:val="00056294"/>
    <w:rsid w:val="00057E68"/>
    <w:rsid w:val="00061AE4"/>
    <w:rsid w:val="00063152"/>
    <w:rsid w:val="000648F1"/>
    <w:rsid w:val="00072A13"/>
    <w:rsid w:val="000746F1"/>
    <w:rsid w:val="00074772"/>
    <w:rsid w:val="00080069"/>
    <w:rsid w:val="000836E2"/>
    <w:rsid w:val="000852A4"/>
    <w:rsid w:val="000914E1"/>
    <w:rsid w:val="00094199"/>
    <w:rsid w:val="000A4533"/>
    <w:rsid w:val="000A4B78"/>
    <w:rsid w:val="000A6CFF"/>
    <w:rsid w:val="000A6EA6"/>
    <w:rsid w:val="000B6E4F"/>
    <w:rsid w:val="000C2225"/>
    <w:rsid w:val="000C7447"/>
    <w:rsid w:val="000D0D93"/>
    <w:rsid w:val="000D1E44"/>
    <w:rsid w:val="000D403A"/>
    <w:rsid w:val="000E20D5"/>
    <w:rsid w:val="000E6009"/>
    <w:rsid w:val="000E79B1"/>
    <w:rsid w:val="000E7F24"/>
    <w:rsid w:val="000F015B"/>
    <w:rsid w:val="000F05B2"/>
    <w:rsid w:val="00103E90"/>
    <w:rsid w:val="00105962"/>
    <w:rsid w:val="0010616A"/>
    <w:rsid w:val="00110759"/>
    <w:rsid w:val="00111C3F"/>
    <w:rsid w:val="001140D7"/>
    <w:rsid w:val="0013288C"/>
    <w:rsid w:val="00132E99"/>
    <w:rsid w:val="00141632"/>
    <w:rsid w:val="001418C6"/>
    <w:rsid w:val="00144667"/>
    <w:rsid w:val="00147201"/>
    <w:rsid w:val="00147D27"/>
    <w:rsid w:val="00151EAC"/>
    <w:rsid w:val="001557C1"/>
    <w:rsid w:val="00155853"/>
    <w:rsid w:val="00160717"/>
    <w:rsid w:val="00161289"/>
    <w:rsid w:val="00161F78"/>
    <w:rsid w:val="00166CA6"/>
    <w:rsid w:val="001712ED"/>
    <w:rsid w:val="00175F7C"/>
    <w:rsid w:val="00184064"/>
    <w:rsid w:val="00187C6F"/>
    <w:rsid w:val="0019116A"/>
    <w:rsid w:val="00193810"/>
    <w:rsid w:val="001A4BC4"/>
    <w:rsid w:val="001A5D61"/>
    <w:rsid w:val="001A639D"/>
    <w:rsid w:val="001A6D9F"/>
    <w:rsid w:val="001B20D7"/>
    <w:rsid w:val="001B30BA"/>
    <w:rsid w:val="001B53EC"/>
    <w:rsid w:val="001B6A96"/>
    <w:rsid w:val="001B751E"/>
    <w:rsid w:val="001C66D9"/>
    <w:rsid w:val="001D6B14"/>
    <w:rsid w:val="001D7850"/>
    <w:rsid w:val="001D7C16"/>
    <w:rsid w:val="001D7E92"/>
    <w:rsid w:val="001E05A3"/>
    <w:rsid w:val="001E1EC4"/>
    <w:rsid w:val="001F3F75"/>
    <w:rsid w:val="001F46A7"/>
    <w:rsid w:val="00206E46"/>
    <w:rsid w:val="00211821"/>
    <w:rsid w:val="002149A1"/>
    <w:rsid w:val="0021618C"/>
    <w:rsid w:val="0022461B"/>
    <w:rsid w:val="00225856"/>
    <w:rsid w:val="0022777D"/>
    <w:rsid w:val="00231EB5"/>
    <w:rsid w:val="00235B85"/>
    <w:rsid w:val="0023711F"/>
    <w:rsid w:val="00237214"/>
    <w:rsid w:val="00242E0D"/>
    <w:rsid w:val="0024363B"/>
    <w:rsid w:val="00246B00"/>
    <w:rsid w:val="00253FFC"/>
    <w:rsid w:val="00262DDE"/>
    <w:rsid w:val="00264714"/>
    <w:rsid w:val="00264C75"/>
    <w:rsid w:val="00281A49"/>
    <w:rsid w:val="002877D2"/>
    <w:rsid w:val="00293FAE"/>
    <w:rsid w:val="0029466A"/>
    <w:rsid w:val="00294B47"/>
    <w:rsid w:val="002A5488"/>
    <w:rsid w:val="002B0B4B"/>
    <w:rsid w:val="002B2B1A"/>
    <w:rsid w:val="002B4623"/>
    <w:rsid w:val="002B4A5B"/>
    <w:rsid w:val="002B5306"/>
    <w:rsid w:val="002C1862"/>
    <w:rsid w:val="002C4B45"/>
    <w:rsid w:val="002C4D5E"/>
    <w:rsid w:val="002D046A"/>
    <w:rsid w:val="002D293F"/>
    <w:rsid w:val="002D5242"/>
    <w:rsid w:val="002D6E8E"/>
    <w:rsid w:val="002E1513"/>
    <w:rsid w:val="002E2432"/>
    <w:rsid w:val="002F269F"/>
    <w:rsid w:val="002F64BF"/>
    <w:rsid w:val="002F69FD"/>
    <w:rsid w:val="002F73C8"/>
    <w:rsid w:val="00303ED4"/>
    <w:rsid w:val="003159E5"/>
    <w:rsid w:val="003317F9"/>
    <w:rsid w:val="003327A4"/>
    <w:rsid w:val="003367CA"/>
    <w:rsid w:val="00336803"/>
    <w:rsid w:val="00336CE2"/>
    <w:rsid w:val="00340733"/>
    <w:rsid w:val="00340C63"/>
    <w:rsid w:val="00343E11"/>
    <w:rsid w:val="0035022C"/>
    <w:rsid w:val="00351725"/>
    <w:rsid w:val="00357BD4"/>
    <w:rsid w:val="00360C68"/>
    <w:rsid w:val="00364672"/>
    <w:rsid w:val="00364728"/>
    <w:rsid w:val="00364CD5"/>
    <w:rsid w:val="00365925"/>
    <w:rsid w:val="00365AA4"/>
    <w:rsid w:val="0037598E"/>
    <w:rsid w:val="0037633E"/>
    <w:rsid w:val="003810A3"/>
    <w:rsid w:val="003810BF"/>
    <w:rsid w:val="003834D0"/>
    <w:rsid w:val="00391CDC"/>
    <w:rsid w:val="0039273B"/>
    <w:rsid w:val="003939D2"/>
    <w:rsid w:val="00393CB6"/>
    <w:rsid w:val="00395995"/>
    <w:rsid w:val="00395E7C"/>
    <w:rsid w:val="00396DE0"/>
    <w:rsid w:val="003A3307"/>
    <w:rsid w:val="003B47A7"/>
    <w:rsid w:val="003B538B"/>
    <w:rsid w:val="003B5995"/>
    <w:rsid w:val="003C0B0D"/>
    <w:rsid w:val="003C61F5"/>
    <w:rsid w:val="003D467F"/>
    <w:rsid w:val="003D5B1B"/>
    <w:rsid w:val="003D7128"/>
    <w:rsid w:val="003D7F2C"/>
    <w:rsid w:val="003E7A67"/>
    <w:rsid w:val="003E7A77"/>
    <w:rsid w:val="003F44BB"/>
    <w:rsid w:val="003F4500"/>
    <w:rsid w:val="003F6482"/>
    <w:rsid w:val="00402832"/>
    <w:rsid w:val="004032E4"/>
    <w:rsid w:val="0041109B"/>
    <w:rsid w:val="00413E0F"/>
    <w:rsid w:val="004170C4"/>
    <w:rsid w:val="00420E1D"/>
    <w:rsid w:val="004226D5"/>
    <w:rsid w:val="004246FC"/>
    <w:rsid w:val="004277D7"/>
    <w:rsid w:val="00430D3F"/>
    <w:rsid w:val="00431057"/>
    <w:rsid w:val="00431FAC"/>
    <w:rsid w:val="00437422"/>
    <w:rsid w:val="004401EA"/>
    <w:rsid w:val="004429FA"/>
    <w:rsid w:val="00442A20"/>
    <w:rsid w:val="0044415C"/>
    <w:rsid w:val="00451C81"/>
    <w:rsid w:val="004522BD"/>
    <w:rsid w:val="00456005"/>
    <w:rsid w:val="00456552"/>
    <w:rsid w:val="00460135"/>
    <w:rsid w:val="00460E5F"/>
    <w:rsid w:val="00465DB4"/>
    <w:rsid w:val="00467709"/>
    <w:rsid w:val="00484AF8"/>
    <w:rsid w:val="004910C5"/>
    <w:rsid w:val="00491475"/>
    <w:rsid w:val="00491B2F"/>
    <w:rsid w:val="00492CF5"/>
    <w:rsid w:val="00493C1E"/>
    <w:rsid w:val="004A0C90"/>
    <w:rsid w:val="004B7836"/>
    <w:rsid w:val="004C327F"/>
    <w:rsid w:val="004C5F6D"/>
    <w:rsid w:val="004E0048"/>
    <w:rsid w:val="004F0260"/>
    <w:rsid w:val="004F0DA1"/>
    <w:rsid w:val="004F54ED"/>
    <w:rsid w:val="004F764B"/>
    <w:rsid w:val="00500A87"/>
    <w:rsid w:val="005016E6"/>
    <w:rsid w:val="00502054"/>
    <w:rsid w:val="0050412A"/>
    <w:rsid w:val="0050678E"/>
    <w:rsid w:val="00514702"/>
    <w:rsid w:val="005149C7"/>
    <w:rsid w:val="00515E12"/>
    <w:rsid w:val="00530DCF"/>
    <w:rsid w:val="00536758"/>
    <w:rsid w:val="0053790E"/>
    <w:rsid w:val="00541C24"/>
    <w:rsid w:val="00544162"/>
    <w:rsid w:val="005457D6"/>
    <w:rsid w:val="00546C60"/>
    <w:rsid w:val="00554FBC"/>
    <w:rsid w:val="00557C8D"/>
    <w:rsid w:val="00560492"/>
    <w:rsid w:val="00562F79"/>
    <w:rsid w:val="00564080"/>
    <w:rsid w:val="00575AA7"/>
    <w:rsid w:val="00580250"/>
    <w:rsid w:val="0058246B"/>
    <w:rsid w:val="0058372F"/>
    <w:rsid w:val="005838B0"/>
    <w:rsid w:val="00584949"/>
    <w:rsid w:val="005902A7"/>
    <w:rsid w:val="00591F38"/>
    <w:rsid w:val="005A33DA"/>
    <w:rsid w:val="005B2A29"/>
    <w:rsid w:val="005B371F"/>
    <w:rsid w:val="005B4121"/>
    <w:rsid w:val="005B43A0"/>
    <w:rsid w:val="005B5503"/>
    <w:rsid w:val="005B5E6C"/>
    <w:rsid w:val="005B65CA"/>
    <w:rsid w:val="005C1025"/>
    <w:rsid w:val="005C3629"/>
    <w:rsid w:val="005C798D"/>
    <w:rsid w:val="005D0E2E"/>
    <w:rsid w:val="005D1725"/>
    <w:rsid w:val="005D3854"/>
    <w:rsid w:val="005D456F"/>
    <w:rsid w:val="005D4B02"/>
    <w:rsid w:val="005E392F"/>
    <w:rsid w:val="005E7812"/>
    <w:rsid w:val="005F4680"/>
    <w:rsid w:val="005F51CE"/>
    <w:rsid w:val="005F60FE"/>
    <w:rsid w:val="005F6A8F"/>
    <w:rsid w:val="005F7667"/>
    <w:rsid w:val="00601635"/>
    <w:rsid w:val="006025E5"/>
    <w:rsid w:val="00602D65"/>
    <w:rsid w:val="006031C3"/>
    <w:rsid w:val="006119CC"/>
    <w:rsid w:val="00612FC9"/>
    <w:rsid w:val="00614777"/>
    <w:rsid w:val="0061543C"/>
    <w:rsid w:val="00616E43"/>
    <w:rsid w:val="0062332A"/>
    <w:rsid w:val="006253FE"/>
    <w:rsid w:val="00631DC3"/>
    <w:rsid w:val="006336C2"/>
    <w:rsid w:val="006344B1"/>
    <w:rsid w:val="00636998"/>
    <w:rsid w:val="006406D8"/>
    <w:rsid w:val="00643984"/>
    <w:rsid w:val="00651485"/>
    <w:rsid w:val="00653918"/>
    <w:rsid w:val="00654FBC"/>
    <w:rsid w:val="00662CE1"/>
    <w:rsid w:val="00664BA3"/>
    <w:rsid w:val="00672217"/>
    <w:rsid w:val="00673BE5"/>
    <w:rsid w:val="00677D01"/>
    <w:rsid w:val="00680649"/>
    <w:rsid w:val="0068208D"/>
    <w:rsid w:val="00685F29"/>
    <w:rsid w:val="00692E1C"/>
    <w:rsid w:val="006950E0"/>
    <w:rsid w:val="006A00C7"/>
    <w:rsid w:val="006A1A84"/>
    <w:rsid w:val="006A22E4"/>
    <w:rsid w:val="006B0179"/>
    <w:rsid w:val="006B0598"/>
    <w:rsid w:val="006B316C"/>
    <w:rsid w:val="006B4629"/>
    <w:rsid w:val="006B5789"/>
    <w:rsid w:val="006C373D"/>
    <w:rsid w:val="006C72C0"/>
    <w:rsid w:val="006D06E3"/>
    <w:rsid w:val="006D7BD2"/>
    <w:rsid w:val="006F1B31"/>
    <w:rsid w:val="006F30C8"/>
    <w:rsid w:val="00705A58"/>
    <w:rsid w:val="00706472"/>
    <w:rsid w:val="00706536"/>
    <w:rsid w:val="00714CCC"/>
    <w:rsid w:val="00715F8E"/>
    <w:rsid w:val="00721283"/>
    <w:rsid w:val="00723CA1"/>
    <w:rsid w:val="0072444E"/>
    <w:rsid w:val="00724B31"/>
    <w:rsid w:val="007252BF"/>
    <w:rsid w:val="00727597"/>
    <w:rsid w:val="00731B5B"/>
    <w:rsid w:val="00732C2B"/>
    <w:rsid w:val="00734C2A"/>
    <w:rsid w:val="00734E52"/>
    <w:rsid w:val="0073591F"/>
    <w:rsid w:val="00746BCC"/>
    <w:rsid w:val="007478B8"/>
    <w:rsid w:val="00750B41"/>
    <w:rsid w:val="00751161"/>
    <w:rsid w:val="00752017"/>
    <w:rsid w:val="00753519"/>
    <w:rsid w:val="00757CDB"/>
    <w:rsid w:val="00763492"/>
    <w:rsid w:val="00765A9B"/>
    <w:rsid w:val="00767BF8"/>
    <w:rsid w:val="00770025"/>
    <w:rsid w:val="0077144F"/>
    <w:rsid w:val="007762C7"/>
    <w:rsid w:val="00777A45"/>
    <w:rsid w:val="00777C69"/>
    <w:rsid w:val="0078123E"/>
    <w:rsid w:val="007A1AA8"/>
    <w:rsid w:val="007B0187"/>
    <w:rsid w:val="007B02FF"/>
    <w:rsid w:val="007B3ACC"/>
    <w:rsid w:val="007B5680"/>
    <w:rsid w:val="007B5B49"/>
    <w:rsid w:val="007B6675"/>
    <w:rsid w:val="007C12DF"/>
    <w:rsid w:val="007C3153"/>
    <w:rsid w:val="007C3C38"/>
    <w:rsid w:val="007C658C"/>
    <w:rsid w:val="007C70C7"/>
    <w:rsid w:val="007D3A27"/>
    <w:rsid w:val="007D427D"/>
    <w:rsid w:val="007D6273"/>
    <w:rsid w:val="007D7E09"/>
    <w:rsid w:val="007E46B1"/>
    <w:rsid w:val="007F1AED"/>
    <w:rsid w:val="007F443B"/>
    <w:rsid w:val="007F7258"/>
    <w:rsid w:val="008001D2"/>
    <w:rsid w:val="00800D1D"/>
    <w:rsid w:val="00801738"/>
    <w:rsid w:val="00807B0B"/>
    <w:rsid w:val="00816F5A"/>
    <w:rsid w:val="0082267D"/>
    <w:rsid w:val="008230F0"/>
    <w:rsid w:val="008344EF"/>
    <w:rsid w:val="008349D5"/>
    <w:rsid w:val="00837BAA"/>
    <w:rsid w:val="008439C4"/>
    <w:rsid w:val="00843E8B"/>
    <w:rsid w:val="0084609F"/>
    <w:rsid w:val="008465E6"/>
    <w:rsid w:val="008475D3"/>
    <w:rsid w:val="008479B1"/>
    <w:rsid w:val="00851A74"/>
    <w:rsid w:val="00855161"/>
    <w:rsid w:val="008603DE"/>
    <w:rsid w:val="008620EC"/>
    <w:rsid w:val="00862CC3"/>
    <w:rsid w:val="0086464C"/>
    <w:rsid w:val="00866F63"/>
    <w:rsid w:val="00867DC2"/>
    <w:rsid w:val="00872945"/>
    <w:rsid w:val="00874185"/>
    <w:rsid w:val="0087550C"/>
    <w:rsid w:val="00877AF9"/>
    <w:rsid w:val="0088279C"/>
    <w:rsid w:val="00891A8D"/>
    <w:rsid w:val="00896033"/>
    <w:rsid w:val="008964B6"/>
    <w:rsid w:val="008964D6"/>
    <w:rsid w:val="008A2EE9"/>
    <w:rsid w:val="008A495C"/>
    <w:rsid w:val="008A4E94"/>
    <w:rsid w:val="008B1AB6"/>
    <w:rsid w:val="008B41E4"/>
    <w:rsid w:val="008B75C8"/>
    <w:rsid w:val="008C203B"/>
    <w:rsid w:val="008C4DE5"/>
    <w:rsid w:val="008C5086"/>
    <w:rsid w:val="008D2A29"/>
    <w:rsid w:val="008D3E9E"/>
    <w:rsid w:val="008E04E0"/>
    <w:rsid w:val="008E0CDD"/>
    <w:rsid w:val="008E1265"/>
    <w:rsid w:val="008E1F2F"/>
    <w:rsid w:val="008E3B56"/>
    <w:rsid w:val="008E4A26"/>
    <w:rsid w:val="008E6B9F"/>
    <w:rsid w:val="008E7116"/>
    <w:rsid w:val="008F7FBF"/>
    <w:rsid w:val="00911ADB"/>
    <w:rsid w:val="009120D8"/>
    <w:rsid w:val="009137CF"/>
    <w:rsid w:val="00914622"/>
    <w:rsid w:val="00917303"/>
    <w:rsid w:val="0092132D"/>
    <w:rsid w:val="00924280"/>
    <w:rsid w:val="0092508D"/>
    <w:rsid w:val="0092536C"/>
    <w:rsid w:val="00935083"/>
    <w:rsid w:val="009352EF"/>
    <w:rsid w:val="00943363"/>
    <w:rsid w:val="00944965"/>
    <w:rsid w:val="00944BBF"/>
    <w:rsid w:val="009502F0"/>
    <w:rsid w:val="00956142"/>
    <w:rsid w:val="009604A0"/>
    <w:rsid w:val="0096122A"/>
    <w:rsid w:val="00962155"/>
    <w:rsid w:val="00967373"/>
    <w:rsid w:val="00967F85"/>
    <w:rsid w:val="0097359C"/>
    <w:rsid w:val="0097477C"/>
    <w:rsid w:val="00976702"/>
    <w:rsid w:val="009838B8"/>
    <w:rsid w:val="0098573A"/>
    <w:rsid w:val="00991B97"/>
    <w:rsid w:val="00992673"/>
    <w:rsid w:val="00995363"/>
    <w:rsid w:val="0099595B"/>
    <w:rsid w:val="00997121"/>
    <w:rsid w:val="00997C2D"/>
    <w:rsid w:val="009A2060"/>
    <w:rsid w:val="009A337B"/>
    <w:rsid w:val="009A4D40"/>
    <w:rsid w:val="009A661A"/>
    <w:rsid w:val="009A6F0A"/>
    <w:rsid w:val="009A7DF6"/>
    <w:rsid w:val="009B5CF4"/>
    <w:rsid w:val="009B6B19"/>
    <w:rsid w:val="009C1B8F"/>
    <w:rsid w:val="009D49BC"/>
    <w:rsid w:val="009E448C"/>
    <w:rsid w:val="009F110A"/>
    <w:rsid w:val="009F151D"/>
    <w:rsid w:val="009F1F01"/>
    <w:rsid w:val="009F2E0B"/>
    <w:rsid w:val="009F4C02"/>
    <w:rsid w:val="009F56DA"/>
    <w:rsid w:val="009F5955"/>
    <w:rsid w:val="009F731F"/>
    <w:rsid w:val="00A00A8E"/>
    <w:rsid w:val="00A06015"/>
    <w:rsid w:val="00A113F4"/>
    <w:rsid w:val="00A11E82"/>
    <w:rsid w:val="00A15273"/>
    <w:rsid w:val="00A15C3A"/>
    <w:rsid w:val="00A16970"/>
    <w:rsid w:val="00A16DF0"/>
    <w:rsid w:val="00A201FA"/>
    <w:rsid w:val="00A2646F"/>
    <w:rsid w:val="00A26DF2"/>
    <w:rsid w:val="00A415B6"/>
    <w:rsid w:val="00A4556C"/>
    <w:rsid w:val="00A45C80"/>
    <w:rsid w:val="00A45DCA"/>
    <w:rsid w:val="00A4633B"/>
    <w:rsid w:val="00A4783D"/>
    <w:rsid w:val="00A54F44"/>
    <w:rsid w:val="00A57CE0"/>
    <w:rsid w:val="00A80DE2"/>
    <w:rsid w:val="00A82468"/>
    <w:rsid w:val="00A82539"/>
    <w:rsid w:val="00A86CFF"/>
    <w:rsid w:val="00A900CC"/>
    <w:rsid w:val="00A900D9"/>
    <w:rsid w:val="00A97255"/>
    <w:rsid w:val="00A977B8"/>
    <w:rsid w:val="00AA5AE5"/>
    <w:rsid w:val="00AA68EC"/>
    <w:rsid w:val="00AB1C04"/>
    <w:rsid w:val="00AD179E"/>
    <w:rsid w:val="00AD411B"/>
    <w:rsid w:val="00AD62B6"/>
    <w:rsid w:val="00AD6E30"/>
    <w:rsid w:val="00AD7E4C"/>
    <w:rsid w:val="00AE27A8"/>
    <w:rsid w:val="00AE3206"/>
    <w:rsid w:val="00AE380E"/>
    <w:rsid w:val="00AE4B14"/>
    <w:rsid w:val="00AE73EA"/>
    <w:rsid w:val="00AF6A8B"/>
    <w:rsid w:val="00B00552"/>
    <w:rsid w:val="00B01ED5"/>
    <w:rsid w:val="00B02323"/>
    <w:rsid w:val="00B044EA"/>
    <w:rsid w:val="00B07C17"/>
    <w:rsid w:val="00B1454B"/>
    <w:rsid w:val="00B2279C"/>
    <w:rsid w:val="00B2320A"/>
    <w:rsid w:val="00B23B3E"/>
    <w:rsid w:val="00B24BBE"/>
    <w:rsid w:val="00B32164"/>
    <w:rsid w:val="00B33A02"/>
    <w:rsid w:val="00B346E7"/>
    <w:rsid w:val="00B349F6"/>
    <w:rsid w:val="00B36207"/>
    <w:rsid w:val="00B415A8"/>
    <w:rsid w:val="00B45124"/>
    <w:rsid w:val="00B45ED9"/>
    <w:rsid w:val="00B5221A"/>
    <w:rsid w:val="00B52ABE"/>
    <w:rsid w:val="00B600B1"/>
    <w:rsid w:val="00B61BFF"/>
    <w:rsid w:val="00B62846"/>
    <w:rsid w:val="00B640CF"/>
    <w:rsid w:val="00B643CE"/>
    <w:rsid w:val="00B72DF0"/>
    <w:rsid w:val="00B740D5"/>
    <w:rsid w:val="00B8023E"/>
    <w:rsid w:val="00B87EFA"/>
    <w:rsid w:val="00B95259"/>
    <w:rsid w:val="00BA52D2"/>
    <w:rsid w:val="00BB1B9E"/>
    <w:rsid w:val="00BB2868"/>
    <w:rsid w:val="00BB3848"/>
    <w:rsid w:val="00BB7706"/>
    <w:rsid w:val="00BB7917"/>
    <w:rsid w:val="00BC109C"/>
    <w:rsid w:val="00BC30F0"/>
    <w:rsid w:val="00BD158B"/>
    <w:rsid w:val="00BD1DDB"/>
    <w:rsid w:val="00BF0776"/>
    <w:rsid w:val="00BF167D"/>
    <w:rsid w:val="00BF550E"/>
    <w:rsid w:val="00BF7226"/>
    <w:rsid w:val="00C03C52"/>
    <w:rsid w:val="00C05511"/>
    <w:rsid w:val="00C06491"/>
    <w:rsid w:val="00C1466C"/>
    <w:rsid w:val="00C150D0"/>
    <w:rsid w:val="00C2025A"/>
    <w:rsid w:val="00C240C4"/>
    <w:rsid w:val="00C2446A"/>
    <w:rsid w:val="00C248AB"/>
    <w:rsid w:val="00C254BC"/>
    <w:rsid w:val="00C258C1"/>
    <w:rsid w:val="00C26631"/>
    <w:rsid w:val="00C26E98"/>
    <w:rsid w:val="00C32840"/>
    <w:rsid w:val="00C4425D"/>
    <w:rsid w:val="00C44667"/>
    <w:rsid w:val="00C4717E"/>
    <w:rsid w:val="00C55C86"/>
    <w:rsid w:val="00C56AA8"/>
    <w:rsid w:val="00C6040B"/>
    <w:rsid w:val="00C70C9A"/>
    <w:rsid w:val="00C73856"/>
    <w:rsid w:val="00C745F6"/>
    <w:rsid w:val="00C77873"/>
    <w:rsid w:val="00C80B2A"/>
    <w:rsid w:val="00C85BDC"/>
    <w:rsid w:val="00C87E68"/>
    <w:rsid w:val="00C9106F"/>
    <w:rsid w:val="00C93D08"/>
    <w:rsid w:val="00C951E1"/>
    <w:rsid w:val="00C969BD"/>
    <w:rsid w:val="00CA004B"/>
    <w:rsid w:val="00CA748E"/>
    <w:rsid w:val="00CC3045"/>
    <w:rsid w:val="00CC526C"/>
    <w:rsid w:val="00CD08BD"/>
    <w:rsid w:val="00CD6150"/>
    <w:rsid w:val="00CD78CD"/>
    <w:rsid w:val="00CE0752"/>
    <w:rsid w:val="00CE345A"/>
    <w:rsid w:val="00CE3BB8"/>
    <w:rsid w:val="00CF135A"/>
    <w:rsid w:val="00CF3B36"/>
    <w:rsid w:val="00CF3D30"/>
    <w:rsid w:val="00CF3E1A"/>
    <w:rsid w:val="00D00BA5"/>
    <w:rsid w:val="00D01AEE"/>
    <w:rsid w:val="00D03B4D"/>
    <w:rsid w:val="00D21A07"/>
    <w:rsid w:val="00D34CD6"/>
    <w:rsid w:val="00D35C9A"/>
    <w:rsid w:val="00D37FBA"/>
    <w:rsid w:val="00D4032D"/>
    <w:rsid w:val="00D42D92"/>
    <w:rsid w:val="00D434D2"/>
    <w:rsid w:val="00D43C01"/>
    <w:rsid w:val="00D455F3"/>
    <w:rsid w:val="00D46C0D"/>
    <w:rsid w:val="00D47F6F"/>
    <w:rsid w:val="00D50225"/>
    <w:rsid w:val="00D51104"/>
    <w:rsid w:val="00D537E7"/>
    <w:rsid w:val="00D574C6"/>
    <w:rsid w:val="00D57819"/>
    <w:rsid w:val="00D676C7"/>
    <w:rsid w:val="00D8061C"/>
    <w:rsid w:val="00D83436"/>
    <w:rsid w:val="00D842D6"/>
    <w:rsid w:val="00D8564C"/>
    <w:rsid w:val="00D90826"/>
    <w:rsid w:val="00D913A3"/>
    <w:rsid w:val="00D91579"/>
    <w:rsid w:val="00D92AA4"/>
    <w:rsid w:val="00D932EA"/>
    <w:rsid w:val="00D9398F"/>
    <w:rsid w:val="00D94AA5"/>
    <w:rsid w:val="00D9646E"/>
    <w:rsid w:val="00D9650F"/>
    <w:rsid w:val="00D96534"/>
    <w:rsid w:val="00D9726C"/>
    <w:rsid w:val="00DA0225"/>
    <w:rsid w:val="00DA3F93"/>
    <w:rsid w:val="00DA4E75"/>
    <w:rsid w:val="00DA5BF2"/>
    <w:rsid w:val="00DA6DC7"/>
    <w:rsid w:val="00DB045C"/>
    <w:rsid w:val="00DB459A"/>
    <w:rsid w:val="00DB4CFC"/>
    <w:rsid w:val="00DC2AFC"/>
    <w:rsid w:val="00DC2D8E"/>
    <w:rsid w:val="00DC6B3A"/>
    <w:rsid w:val="00DC7B31"/>
    <w:rsid w:val="00DD62DD"/>
    <w:rsid w:val="00DD7407"/>
    <w:rsid w:val="00DE0934"/>
    <w:rsid w:val="00DE3805"/>
    <w:rsid w:val="00DF1306"/>
    <w:rsid w:val="00DF2100"/>
    <w:rsid w:val="00DF40F5"/>
    <w:rsid w:val="00DF436E"/>
    <w:rsid w:val="00DF546B"/>
    <w:rsid w:val="00DF5A67"/>
    <w:rsid w:val="00E023EA"/>
    <w:rsid w:val="00E04775"/>
    <w:rsid w:val="00E047C6"/>
    <w:rsid w:val="00E04CBF"/>
    <w:rsid w:val="00E05EF8"/>
    <w:rsid w:val="00E07BFC"/>
    <w:rsid w:val="00E12084"/>
    <w:rsid w:val="00E12405"/>
    <w:rsid w:val="00E12BE8"/>
    <w:rsid w:val="00E20837"/>
    <w:rsid w:val="00E22F3B"/>
    <w:rsid w:val="00E33D59"/>
    <w:rsid w:val="00E447DE"/>
    <w:rsid w:val="00E478B9"/>
    <w:rsid w:val="00E5565E"/>
    <w:rsid w:val="00E64234"/>
    <w:rsid w:val="00E65395"/>
    <w:rsid w:val="00E661F4"/>
    <w:rsid w:val="00E66C0F"/>
    <w:rsid w:val="00E74570"/>
    <w:rsid w:val="00E74C82"/>
    <w:rsid w:val="00E8020D"/>
    <w:rsid w:val="00E80D19"/>
    <w:rsid w:val="00E824AC"/>
    <w:rsid w:val="00E84024"/>
    <w:rsid w:val="00E956FF"/>
    <w:rsid w:val="00E96CD7"/>
    <w:rsid w:val="00EA18C4"/>
    <w:rsid w:val="00EA2A0C"/>
    <w:rsid w:val="00EA485A"/>
    <w:rsid w:val="00EA4DF6"/>
    <w:rsid w:val="00EA6035"/>
    <w:rsid w:val="00EB10BE"/>
    <w:rsid w:val="00EB250B"/>
    <w:rsid w:val="00EB2EAD"/>
    <w:rsid w:val="00EB2F69"/>
    <w:rsid w:val="00EB6B77"/>
    <w:rsid w:val="00EC0444"/>
    <w:rsid w:val="00EC57E0"/>
    <w:rsid w:val="00EC67BA"/>
    <w:rsid w:val="00EC73D5"/>
    <w:rsid w:val="00ED35BB"/>
    <w:rsid w:val="00ED7FEC"/>
    <w:rsid w:val="00EE1B60"/>
    <w:rsid w:val="00EE4EB4"/>
    <w:rsid w:val="00EE6065"/>
    <w:rsid w:val="00EE62D3"/>
    <w:rsid w:val="00EE737C"/>
    <w:rsid w:val="00EF7507"/>
    <w:rsid w:val="00F0269B"/>
    <w:rsid w:val="00F04115"/>
    <w:rsid w:val="00F06DF9"/>
    <w:rsid w:val="00F07012"/>
    <w:rsid w:val="00F1012B"/>
    <w:rsid w:val="00F1234C"/>
    <w:rsid w:val="00F15CD3"/>
    <w:rsid w:val="00F1695B"/>
    <w:rsid w:val="00F20757"/>
    <w:rsid w:val="00F25067"/>
    <w:rsid w:val="00F26854"/>
    <w:rsid w:val="00F322D9"/>
    <w:rsid w:val="00F36660"/>
    <w:rsid w:val="00F37519"/>
    <w:rsid w:val="00F43B29"/>
    <w:rsid w:val="00F45AD1"/>
    <w:rsid w:val="00F5246B"/>
    <w:rsid w:val="00F52FCA"/>
    <w:rsid w:val="00F56B3C"/>
    <w:rsid w:val="00F57434"/>
    <w:rsid w:val="00F60844"/>
    <w:rsid w:val="00F618AD"/>
    <w:rsid w:val="00F76458"/>
    <w:rsid w:val="00F81C3F"/>
    <w:rsid w:val="00F85CF4"/>
    <w:rsid w:val="00F87188"/>
    <w:rsid w:val="00F952AE"/>
    <w:rsid w:val="00F95EFB"/>
    <w:rsid w:val="00FA075E"/>
    <w:rsid w:val="00FA27F3"/>
    <w:rsid w:val="00FA3413"/>
    <w:rsid w:val="00FA3BF1"/>
    <w:rsid w:val="00FA3C01"/>
    <w:rsid w:val="00FA3DF2"/>
    <w:rsid w:val="00FA489C"/>
    <w:rsid w:val="00FA4C41"/>
    <w:rsid w:val="00FB1134"/>
    <w:rsid w:val="00FB2954"/>
    <w:rsid w:val="00FB416D"/>
    <w:rsid w:val="00FC11A1"/>
    <w:rsid w:val="00FD71CA"/>
    <w:rsid w:val="00FE1EBF"/>
    <w:rsid w:val="00FE2DE3"/>
    <w:rsid w:val="00FE5597"/>
    <w:rsid w:val="00FF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TableText">
    <w:name w:val="Table_Text"/>
    <w:basedOn w:val="Normal"/>
    <w:rsid w:val="00874185"/>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character" w:styleId="Textedelespacerserv">
    <w:name w:val="Placeholder Text"/>
    <w:basedOn w:val="Policepardfaut"/>
    <w:uiPriority w:val="99"/>
    <w:semiHidden/>
    <w:rsid w:val="008349D5"/>
    <w:rPr>
      <w:color w:val="808080"/>
    </w:rPr>
  </w:style>
  <w:style w:type="paragraph" w:customStyle="1" w:styleId="EX">
    <w:name w:val="EX"/>
    <w:basedOn w:val="Normal"/>
    <w:rsid w:val="00F1695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6A22E4"/>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6A22E4"/>
    <w:rPr>
      <w:rFonts w:ascii="Times New Roman" w:eastAsia="SimSun" w:hAnsi="Times New Roman" w:cs="Times New Roman"/>
      <w:color w:val="000000"/>
      <w:sz w:val="20"/>
      <w:szCs w:val="20"/>
      <w:lang w:val="en-GB" w:eastAsia="ja-JP"/>
    </w:rPr>
  </w:style>
  <w:style w:type="paragraph" w:customStyle="1" w:styleId="EW">
    <w:name w:val="EW"/>
    <w:basedOn w:val="EX"/>
    <w:rsid w:val="00944BBF"/>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TableText">
    <w:name w:val="Table_Text"/>
    <w:basedOn w:val="Normal"/>
    <w:rsid w:val="00874185"/>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character" w:styleId="Textedelespacerserv">
    <w:name w:val="Placeholder Text"/>
    <w:basedOn w:val="Policepardfaut"/>
    <w:uiPriority w:val="99"/>
    <w:semiHidden/>
    <w:rsid w:val="008349D5"/>
    <w:rPr>
      <w:color w:val="808080"/>
    </w:rPr>
  </w:style>
  <w:style w:type="paragraph" w:customStyle="1" w:styleId="EX">
    <w:name w:val="EX"/>
    <w:basedOn w:val="Normal"/>
    <w:rsid w:val="00F1695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6A22E4"/>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6A22E4"/>
    <w:rPr>
      <w:rFonts w:ascii="Times New Roman" w:eastAsia="SimSun" w:hAnsi="Times New Roman" w:cs="Times New Roman"/>
      <w:color w:val="000000"/>
      <w:sz w:val="20"/>
      <w:szCs w:val="20"/>
      <w:lang w:val="en-GB" w:eastAsia="ja-JP"/>
    </w:rPr>
  </w:style>
  <w:style w:type="paragraph" w:customStyle="1" w:styleId="EW">
    <w:name w:val="EW"/>
    <w:basedOn w:val="EX"/>
    <w:rsid w:val="00944BB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342525">
      <w:bodyDiv w:val="1"/>
      <w:marLeft w:val="0"/>
      <w:marRight w:val="0"/>
      <w:marTop w:val="0"/>
      <w:marBottom w:val="0"/>
      <w:divBdr>
        <w:top w:val="none" w:sz="0" w:space="0" w:color="auto"/>
        <w:left w:val="none" w:sz="0" w:space="0" w:color="auto"/>
        <w:bottom w:val="none" w:sz="0" w:space="0" w:color="auto"/>
        <w:right w:val="none" w:sz="0" w:space="0" w:color="auto"/>
      </w:divBdr>
      <w:divsChild>
        <w:div w:id="1302538604">
          <w:marLeft w:val="0"/>
          <w:marRight w:val="0"/>
          <w:marTop w:val="0"/>
          <w:marBottom w:val="0"/>
          <w:divBdr>
            <w:top w:val="none" w:sz="0" w:space="0" w:color="auto"/>
            <w:left w:val="none" w:sz="0" w:space="0" w:color="auto"/>
            <w:bottom w:val="none" w:sz="0" w:space="0" w:color="auto"/>
            <w:right w:val="none" w:sz="0" w:space="0" w:color="auto"/>
          </w:divBdr>
        </w:div>
        <w:div w:id="467431564">
          <w:marLeft w:val="0"/>
          <w:marRight w:val="0"/>
          <w:marTop w:val="0"/>
          <w:marBottom w:val="0"/>
          <w:divBdr>
            <w:top w:val="none" w:sz="0" w:space="0" w:color="auto"/>
            <w:left w:val="none" w:sz="0" w:space="0" w:color="auto"/>
            <w:bottom w:val="none" w:sz="0" w:space="0" w:color="auto"/>
            <w:right w:val="none" w:sz="0" w:space="0" w:color="auto"/>
          </w:divBdr>
        </w:div>
        <w:div w:id="1547327136">
          <w:marLeft w:val="0"/>
          <w:marRight w:val="0"/>
          <w:marTop w:val="0"/>
          <w:marBottom w:val="0"/>
          <w:divBdr>
            <w:top w:val="none" w:sz="0" w:space="0" w:color="auto"/>
            <w:left w:val="none" w:sz="0" w:space="0" w:color="auto"/>
            <w:bottom w:val="none" w:sz="0" w:space="0" w:color="auto"/>
            <w:right w:val="none" w:sz="0" w:space="0" w:color="auto"/>
          </w:divBdr>
        </w:div>
        <w:div w:id="1800495055">
          <w:marLeft w:val="0"/>
          <w:marRight w:val="0"/>
          <w:marTop w:val="0"/>
          <w:marBottom w:val="0"/>
          <w:divBdr>
            <w:top w:val="none" w:sz="0" w:space="0" w:color="auto"/>
            <w:left w:val="none" w:sz="0" w:space="0" w:color="auto"/>
            <w:bottom w:val="none" w:sz="0" w:space="0" w:color="auto"/>
            <w:right w:val="none" w:sz="0" w:space="0" w:color="auto"/>
          </w:divBdr>
        </w:div>
      </w:divsChild>
    </w:div>
    <w:div w:id="768506725">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71291721">
      <w:bodyDiv w:val="1"/>
      <w:marLeft w:val="0"/>
      <w:marRight w:val="0"/>
      <w:marTop w:val="0"/>
      <w:marBottom w:val="0"/>
      <w:divBdr>
        <w:top w:val="none" w:sz="0" w:space="0" w:color="auto"/>
        <w:left w:val="none" w:sz="0" w:space="0" w:color="auto"/>
        <w:bottom w:val="none" w:sz="0" w:space="0" w:color="auto"/>
        <w:right w:val="none" w:sz="0" w:space="0" w:color="auto"/>
      </w:divBdr>
    </w:div>
    <w:div w:id="120247696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13158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en.wikipedia.org/wiki/Handbook_of_Mathematical_Functions" TargetMode="External"/><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2C77B-FBDA-44C0-A70B-096962130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2048</Words>
  <Characters>11675</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3</cp:revision>
  <cp:lastPrinted>2016-11-04T10:26:00Z</cp:lastPrinted>
  <dcterms:created xsi:type="dcterms:W3CDTF">2017-05-04T16:29:00Z</dcterms:created>
  <dcterms:modified xsi:type="dcterms:W3CDTF">2017-05-04T16:30:00Z</dcterms:modified>
</cp:coreProperties>
</file>